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50A95" w14:textId="015F05ED" w:rsidR="00D926E5" w:rsidRPr="00DE3012" w:rsidRDefault="00317B09" w:rsidP="00317B09">
      <w:pPr>
        <w:pStyle w:val="Author"/>
        <w:spacing w:line="240" w:lineRule="auto"/>
        <w:jc w:val="center"/>
        <w:rPr>
          <w:rFonts w:ascii="Calibri" w:hAnsi="Calibri" w:cs="Calibri"/>
          <w:color w:val="000000" w:themeColor="text1"/>
          <w:sz w:val="24"/>
        </w:rPr>
      </w:pPr>
      <w:r w:rsidRPr="00DE3012">
        <w:rPr>
          <w:rFonts w:ascii="Calibri" w:hAnsi="Calibri" w:cs="Calibri"/>
          <w:color w:val="000000" w:themeColor="text1"/>
          <w:sz w:val="24"/>
        </w:rPr>
        <w:t>Portfolio Contents</w:t>
      </w:r>
    </w:p>
    <w:p w14:paraId="3572FC70" w14:textId="77777777" w:rsidR="00317B09" w:rsidRPr="00EE0C6B" w:rsidRDefault="00317B09" w:rsidP="00317B09">
      <w:pPr>
        <w:pStyle w:val="Author"/>
        <w:spacing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7219"/>
        <w:gridCol w:w="360"/>
      </w:tblGrid>
      <w:tr w:rsidR="00317B09" w:rsidRPr="00EE0C6B" w14:paraId="1E1DF6D0" w14:textId="77777777" w:rsidTr="00317B09">
        <w:trPr>
          <w:trHeight w:val="260"/>
        </w:trPr>
        <w:tc>
          <w:tcPr>
            <w:tcW w:w="4794" w:type="pct"/>
            <w:gridSpan w:val="2"/>
            <w:shd w:val="clear" w:color="auto" w:fill="F3F3F3"/>
          </w:tcPr>
          <w:p w14:paraId="462F3C01" w14:textId="07579D43" w:rsidR="00636E60" w:rsidRPr="00EE0C6B" w:rsidRDefault="003D32FF" w:rsidP="005544F8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426"/>
              <w:rPr>
                <w:rFonts w:ascii="Calibri" w:hAnsi="Calibri" w:cs="Calibri"/>
                <w:i w:val="0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/>
                <w:bCs/>
                <w:i w:val="0"/>
                <w:color w:val="000000" w:themeColor="text1"/>
                <w:sz w:val="20"/>
                <w:szCs w:val="20"/>
              </w:rPr>
              <w:t>Introduction</w:t>
            </w:r>
          </w:p>
        </w:tc>
        <w:tc>
          <w:tcPr>
            <w:tcW w:w="206" w:type="pct"/>
            <w:shd w:val="clear" w:color="auto" w:fill="F3F3F3"/>
          </w:tcPr>
          <w:p w14:paraId="1D1DDFC3" w14:textId="77777777" w:rsidR="00636E60" w:rsidRPr="00EE0C6B" w:rsidRDefault="00636E60" w:rsidP="005544F8">
            <w:pPr>
              <w:spacing w:after="0" w:line="360" w:lineRule="auto"/>
              <w:ind w:left="36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7B09" w:rsidRPr="00EE0C6B" w14:paraId="0385479A" w14:textId="77777777" w:rsidTr="00317B09">
        <w:tc>
          <w:tcPr>
            <w:tcW w:w="658" w:type="pct"/>
          </w:tcPr>
          <w:p w14:paraId="7E923B29" w14:textId="0FE38BC0" w:rsidR="00636E60" w:rsidRPr="00EE0C6B" w:rsidRDefault="00636E60" w:rsidP="005544F8">
            <w:pPr>
              <w:spacing w:after="0" w:line="360" w:lineRule="auto"/>
              <w:ind w:left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36" w:type="pct"/>
          </w:tcPr>
          <w:p w14:paraId="4AF49D8A" w14:textId="3B211998" w:rsidR="00636E60" w:rsidRPr="00EE0C6B" w:rsidRDefault="00400AC9" w:rsidP="005544F8">
            <w:pPr>
              <w:spacing w:after="0" w:line="360" w:lineRule="auto"/>
              <w:ind w:left="-18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1.1 </w:t>
            </w:r>
            <w:r w:rsidR="005010E8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</w:t>
            </w:r>
            <w:r w:rsidR="0022262A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andidate</w:t>
            </w:r>
            <w:r w:rsidR="005010E8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757C63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name and student ID number</w:t>
            </w:r>
          </w:p>
        </w:tc>
        <w:tc>
          <w:tcPr>
            <w:tcW w:w="206" w:type="pct"/>
          </w:tcPr>
          <w:p w14:paraId="254C8489" w14:textId="77777777" w:rsidR="00636E60" w:rsidRPr="00EE0C6B" w:rsidRDefault="00636E60" w:rsidP="005544F8">
            <w:pPr>
              <w:spacing w:after="0" w:line="360" w:lineRule="auto"/>
              <w:ind w:left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17B09" w:rsidRPr="00EE0C6B" w14:paraId="6FA3A50D" w14:textId="77777777" w:rsidTr="00317B09">
        <w:tc>
          <w:tcPr>
            <w:tcW w:w="658" w:type="pct"/>
          </w:tcPr>
          <w:p w14:paraId="2B188B87" w14:textId="38B4897A" w:rsidR="00636E60" w:rsidRPr="00EE0C6B" w:rsidRDefault="00636E60" w:rsidP="005544F8">
            <w:pPr>
              <w:spacing w:after="0" w:line="360" w:lineRule="auto"/>
              <w:ind w:left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36" w:type="pct"/>
          </w:tcPr>
          <w:p w14:paraId="67AD96CD" w14:textId="1B30379C" w:rsidR="00636E60" w:rsidRPr="00EE0C6B" w:rsidRDefault="00400AC9" w:rsidP="005544F8">
            <w:pPr>
              <w:spacing w:after="0" w:line="360" w:lineRule="auto"/>
              <w:ind w:left="-18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1.2 </w:t>
            </w:r>
            <w:r w:rsidR="00636E60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Current Resume</w:t>
            </w:r>
          </w:p>
        </w:tc>
        <w:tc>
          <w:tcPr>
            <w:tcW w:w="206" w:type="pct"/>
          </w:tcPr>
          <w:p w14:paraId="097F31BC" w14:textId="77777777" w:rsidR="00636E60" w:rsidRPr="00EE0C6B" w:rsidRDefault="00636E60" w:rsidP="005544F8">
            <w:pPr>
              <w:spacing w:after="0" w:line="360" w:lineRule="auto"/>
              <w:ind w:left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17B09" w:rsidRPr="00EE0C6B" w14:paraId="6ECAA919" w14:textId="77777777" w:rsidTr="00317B09">
        <w:tc>
          <w:tcPr>
            <w:tcW w:w="658" w:type="pct"/>
          </w:tcPr>
          <w:p w14:paraId="73FFE6EB" w14:textId="281C7131" w:rsidR="00636E60" w:rsidRPr="00EE0C6B" w:rsidRDefault="00636E60" w:rsidP="005544F8">
            <w:pPr>
              <w:spacing w:after="0" w:line="360" w:lineRule="auto"/>
              <w:ind w:left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36" w:type="pct"/>
          </w:tcPr>
          <w:p w14:paraId="3B4AC7AC" w14:textId="6BD818F4" w:rsidR="00636E60" w:rsidRPr="00EE0C6B" w:rsidRDefault="00400AC9" w:rsidP="005544F8">
            <w:pPr>
              <w:spacing w:after="0" w:line="360" w:lineRule="auto"/>
              <w:ind w:left="-18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1.3 </w:t>
            </w:r>
            <w:r w:rsidR="00636E60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Professional Philosophy</w:t>
            </w:r>
            <w:r w:rsidR="00757C63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(as pertains to service in the area of autism)</w:t>
            </w:r>
          </w:p>
        </w:tc>
        <w:tc>
          <w:tcPr>
            <w:tcW w:w="206" w:type="pct"/>
          </w:tcPr>
          <w:p w14:paraId="3EDAE687" w14:textId="77777777" w:rsidR="00636E60" w:rsidRPr="00EE0C6B" w:rsidRDefault="00636E60" w:rsidP="005544F8">
            <w:pPr>
              <w:spacing w:after="0" w:line="360" w:lineRule="auto"/>
              <w:ind w:left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17B09" w:rsidRPr="00EE0C6B" w14:paraId="3969DACA" w14:textId="77777777" w:rsidTr="00317B09">
        <w:tc>
          <w:tcPr>
            <w:tcW w:w="4794" w:type="pct"/>
            <w:gridSpan w:val="2"/>
            <w:shd w:val="clear" w:color="auto" w:fill="F3F3F3"/>
          </w:tcPr>
          <w:p w14:paraId="6FC61F09" w14:textId="36D9959E" w:rsidR="00636E60" w:rsidRPr="00EE0C6B" w:rsidRDefault="00317B09" w:rsidP="005544F8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426"/>
              <w:rPr>
                <w:rFonts w:ascii="Calibri" w:hAnsi="Calibri" w:cs="Calibri"/>
                <w:i w:val="0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/>
                <w:bCs/>
                <w:i w:val="0"/>
                <w:color w:val="000000" w:themeColor="text1"/>
                <w:sz w:val="20"/>
                <w:szCs w:val="20"/>
              </w:rPr>
              <w:t>Co</w:t>
            </w:r>
            <w:r w:rsidR="00636E60" w:rsidRPr="00EE0C6B">
              <w:rPr>
                <w:rFonts w:ascii="Calibri" w:hAnsi="Calibri" w:cs="Calibri"/>
                <w:b/>
                <w:bCs/>
                <w:i w:val="0"/>
                <w:color w:val="000000" w:themeColor="text1"/>
                <w:sz w:val="20"/>
                <w:szCs w:val="20"/>
              </w:rPr>
              <w:t>urse Documents</w:t>
            </w:r>
          </w:p>
        </w:tc>
        <w:tc>
          <w:tcPr>
            <w:tcW w:w="206" w:type="pct"/>
            <w:shd w:val="clear" w:color="auto" w:fill="F3F3F3"/>
          </w:tcPr>
          <w:p w14:paraId="1EA19F52" w14:textId="77777777" w:rsidR="00636E60" w:rsidRPr="00EE0C6B" w:rsidRDefault="00636E60" w:rsidP="005544F8">
            <w:pPr>
              <w:spacing w:after="0" w:line="360" w:lineRule="auto"/>
              <w:ind w:left="36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7B09" w:rsidRPr="00EE0C6B" w14:paraId="40EF72D7" w14:textId="77777777" w:rsidTr="00317B09">
        <w:tc>
          <w:tcPr>
            <w:tcW w:w="658" w:type="pct"/>
          </w:tcPr>
          <w:p w14:paraId="2CFB5498" w14:textId="0A2B62AC" w:rsidR="00400AC9" w:rsidRPr="00EE0C6B" w:rsidRDefault="00636E60" w:rsidP="005544F8">
            <w:pPr>
              <w:spacing w:after="0" w:line="360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SPED 791</w:t>
            </w:r>
          </w:p>
        </w:tc>
        <w:tc>
          <w:tcPr>
            <w:tcW w:w="4136" w:type="pct"/>
          </w:tcPr>
          <w:p w14:paraId="40E9238F" w14:textId="3822B0E5" w:rsidR="00636E60" w:rsidRPr="00EE0C6B" w:rsidRDefault="00400AC9" w:rsidP="005544F8">
            <w:pPr>
              <w:spacing w:after="0"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2.1 </w:t>
            </w:r>
            <w:r w:rsidR="00636E60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Case </w:t>
            </w:r>
            <w:r w:rsidR="001E088F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</w:t>
            </w:r>
            <w:r w:rsidR="00636E60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ortrait </w:t>
            </w:r>
            <w:r w:rsidR="001E088F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of learner on the autism </w:t>
            </w:r>
            <w:r w:rsidR="00317B09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spectrum </w:t>
            </w:r>
            <w:r w:rsidR="00636E60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(with reflection)</w:t>
            </w:r>
          </w:p>
        </w:tc>
        <w:tc>
          <w:tcPr>
            <w:tcW w:w="206" w:type="pct"/>
          </w:tcPr>
          <w:p w14:paraId="4B0604B5" w14:textId="77777777" w:rsidR="00636E60" w:rsidRPr="00EE0C6B" w:rsidRDefault="00636E60" w:rsidP="005544F8">
            <w:pPr>
              <w:spacing w:after="0" w:line="360" w:lineRule="auto"/>
              <w:ind w:left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17B09" w:rsidRPr="00EE0C6B" w14:paraId="07DFD3C6" w14:textId="77777777" w:rsidTr="00317B09">
        <w:tc>
          <w:tcPr>
            <w:tcW w:w="658" w:type="pct"/>
          </w:tcPr>
          <w:p w14:paraId="3D1568D7" w14:textId="77777777" w:rsidR="00636E60" w:rsidRPr="00EE0C6B" w:rsidRDefault="00636E60" w:rsidP="005544F8">
            <w:pPr>
              <w:spacing w:after="0" w:line="360" w:lineRule="auto"/>
              <w:ind w:left="18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36" w:type="pct"/>
          </w:tcPr>
          <w:p w14:paraId="7963C590" w14:textId="24DDC1D6" w:rsidR="00636E60" w:rsidRPr="00EE0C6B" w:rsidRDefault="00317B09" w:rsidP="005544F8">
            <w:pPr>
              <w:spacing w:after="0"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2.2. </w:t>
            </w:r>
            <w:r w:rsidR="001E088F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</w:t>
            </w:r>
            <w:r w:rsidR="00325B8F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roup </w:t>
            </w:r>
            <w:r w:rsidR="00636E60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project</w:t>
            </w:r>
            <w:r w:rsidR="00757C63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– Grant proposal</w:t>
            </w:r>
          </w:p>
        </w:tc>
        <w:tc>
          <w:tcPr>
            <w:tcW w:w="206" w:type="pct"/>
          </w:tcPr>
          <w:p w14:paraId="039F0DC4" w14:textId="77777777" w:rsidR="00636E60" w:rsidRPr="00EE0C6B" w:rsidRDefault="00636E60" w:rsidP="005544F8">
            <w:pPr>
              <w:spacing w:after="0" w:line="360" w:lineRule="auto"/>
              <w:ind w:left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17B09" w:rsidRPr="00EE0C6B" w14:paraId="0197759C" w14:textId="77777777" w:rsidTr="00317B09">
        <w:tc>
          <w:tcPr>
            <w:tcW w:w="658" w:type="pct"/>
          </w:tcPr>
          <w:p w14:paraId="30CC15EB" w14:textId="77777777" w:rsidR="00636E60" w:rsidRPr="00EE0C6B" w:rsidRDefault="00636E60" w:rsidP="005544F8">
            <w:pPr>
              <w:spacing w:after="0"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SPED 825</w:t>
            </w:r>
          </w:p>
        </w:tc>
        <w:tc>
          <w:tcPr>
            <w:tcW w:w="4136" w:type="pct"/>
          </w:tcPr>
          <w:p w14:paraId="20719AAF" w14:textId="314C3953" w:rsidR="00636E60" w:rsidRPr="00EE0C6B" w:rsidRDefault="00400AC9" w:rsidP="005544F8">
            <w:pPr>
              <w:spacing w:after="0"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2.3 </w:t>
            </w:r>
            <w:r w:rsidR="00636E60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Ecological/environmental inventory and adaptation</w:t>
            </w:r>
          </w:p>
        </w:tc>
        <w:tc>
          <w:tcPr>
            <w:tcW w:w="206" w:type="pct"/>
          </w:tcPr>
          <w:p w14:paraId="4147FBE6" w14:textId="77777777" w:rsidR="00636E60" w:rsidRPr="00EE0C6B" w:rsidRDefault="00636E60" w:rsidP="005544F8">
            <w:pPr>
              <w:spacing w:after="0" w:line="360" w:lineRule="auto"/>
              <w:ind w:left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17B09" w:rsidRPr="00EE0C6B" w14:paraId="600CDB2B" w14:textId="77777777" w:rsidTr="00317B09">
        <w:tc>
          <w:tcPr>
            <w:tcW w:w="658" w:type="pct"/>
          </w:tcPr>
          <w:p w14:paraId="2A8786FD" w14:textId="77777777" w:rsidR="00636E60" w:rsidRPr="00EE0C6B" w:rsidRDefault="00636E60" w:rsidP="005544F8">
            <w:pPr>
              <w:spacing w:after="0" w:line="360" w:lineRule="auto"/>
              <w:ind w:left="18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36" w:type="pct"/>
          </w:tcPr>
          <w:p w14:paraId="2C525CEC" w14:textId="544005F5" w:rsidR="00636E60" w:rsidRPr="00EE0C6B" w:rsidRDefault="00400AC9" w:rsidP="005544F8">
            <w:pPr>
              <w:spacing w:after="0"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2.4 </w:t>
            </w:r>
            <w:r w:rsidR="00A25C5C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</w:t>
            </w:r>
            <w:r w:rsidR="001E088F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nstruction/Intervention plan</w:t>
            </w:r>
            <w:r w:rsidR="00636E60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(with reflection)</w:t>
            </w:r>
          </w:p>
        </w:tc>
        <w:tc>
          <w:tcPr>
            <w:tcW w:w="206" w:type="pct"/>
          </w:tcPr>
          <w:p w14:paraId="6EC393E0" w14:textId="77777777" w:rsidR="00636E60" w:rsidRPr="00EE0C6B" w:rsidRDefault="00636E60" w:rsidP="005544F8">
            <w:pPr>
              <w:spacing w:after="0" w:line="360" w:lineRule="auto"/>
              <w:ind w:left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17B09" w:rsidRPr="00EE0C6B" w14:paraId="1AC70F80" w14:textId="77777777" w:rsidTr="00317B09">
        <w:tc>
          <w:tcPr>
            <w:tcW w:w="658" w:type="pct"/>
          </w:tcPr>
          <w:p w14:paraId="6840DA4F" w14:textId="77777777" w:rsidR="00636E60" w:rsidRPr="00EE0C6B" w:rsidRDefault="00636E60" w:rsidP="005544F8">
            <w:pPr>
              <w:spacing w:after="0"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SPED 794</w:t>
            </w:r>
          </w:p>
        </w:tc>
        <w:tc>
          <w:tcPr>
            <w:tcW w:w="4136" w:type="pct"/>
          </w:tcPr>
          <w:p w14:paraId="1B03F2CD" w14:textId="533B0DB2" w:rsidR="00636E60" w:rsidRPr="00EE0C6B" w:rsidRDefault="00400AC9" w:rsidP="005544F8">
            <w:pPr>
              <w:spacing w:after="0"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2.5 </w:t>
            </w:r>
            <w:r w:rsidR="00317B09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Project Design and Implementation (with reflection)</w:t>
            </w:r>
          </w:p>
        </w:tc>
        <w:tc>
          <w:tcPr>
            <w:tcW w:w="206" w:type="pct"/>
          </w:tcPr>
          <w:p w14:paraId="01865DBF" w14:textId="77777777" w:rsidR="00636E60" w:rsidRPr="00EE0C6B" w:rsidRDefault="00636E60" w:rsidP="005544F8">
            <w:pPr>
              <w:spacing w:after="0" w:line="360" w:lineRule="auto"/>
              <w:ind w:left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17B09" w:rsidRPr="00EE0C6B" w14:paraId="14C43786" w14:textId="77777777" w:rsidTr="00317B09">
        <w:tc>
          <w:tcPr>
            <w:tcW w:w="658" w:type="pct"/>
          </w:tcPr>
          <w:p w14:paraId="61AA744C" w14:textId="2D8D4289" w:rsidR="00636E60" w:rsidRPr="00EE0C6B" w:rsidRDefault="00636E60" w:rsidP="005544F8">
            <w:pPr>
              <w:spacing w:after="0" w:line="360" w:lineRule="auto"/>
              <w:ind w:left="18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36" w:type="pct"/>
          </w:tcPr>
          <w:p w14:paraId="633C61EF" w14:textId="78969A68" w:rsidR="00636E60" w:rsidRPr="00EE0C6B" w:rsidRDefault="00400AC9" w:rsidP="005544F8">
            <w:pPr>
              <w:spacing w:after="0"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2.6 </w:t>
            </w:r>
            <w:r w:rsidR="00317B09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Group project</w:t>
            </w:r>
            <w:r w:rsidR="00757C63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– Guided </w:t>
            </w:r>
            <w:r w:rsidR="002B2642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discussion/</w:t>
            </w:r>
            <w:r w:rsidR="00757C63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activity or resource guide</w:t>
            </w:r>
          </w:p>
        </w:tc>
        <w:tc>
          <w:tcPr>
            <w:tcW w:w="206" w:type="pct"/>
          </w:tcPr>
          <w:p w14:paraId="1E85F993" w14:textId="77777777" w:rsidR="00636E60" w:rsidRPr="00EE0C6B" w:rsidRDefault="00636E60" w:rsidP="005544F8">
            <w:pPr>
              <w:spacing w:after="0" w:line="360" w:lineRule="auto"/>
              <w:ind w:left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17B09" w:rsidRPr="00EE0C6B" w14:paraId="2C78BC07" w14:textId="77777777" w:rsidTr="00317B09">
        <w:trPr>
          <w:trHeight w:val="251"/>
        </w:trPr>
        <w:tc>
          <w:tcPr>
            <w:tcW w:w="658" w:type="pct"/>
          </w:tcPr>
          <w:p w14:paraId="4692CF38" w14:textId="77777777" w:rsidR="00636E60" w:rsidRPr="00EE0C6B" w:rsidRDefault="00636E60" w:rsidP="005544F8">
            <w:pPr>
              <w:spacing w:after="0"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Elective </w:t>
            </w:r>
          </w:p>
        </w:tc>
        <w:tc>
          <w:tcPr>
            <w:tcW w:w="4136" w:type="pct"/>
          </w:tcPr>
          <w:p w14:paraId="09247263" w14:textId="57CAC3EA" w:rsidR="00636E60" w:rsidRPr="00EE0C6B" w:rsidRDefault="00400AC9" w:rsidP="005544F8">
            <w:pPr>
              <w:spacing w:after="0"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2.7 </w:t>
            </w:r>
            <w:r w:rsidR="00317B09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Autism related course paper, </w:t>
            </w:r>
            <w:r w:rsidR="00636E60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project or exam</w:t>
            </w:r>
          </w:p>
        </w:tc>
        <w:tc>
          <w:tcPr>
            <w:tcW w:w="206" w:type="pct"/>
          </w:tcPr>
          <w:p w14:paraId="5644E7AD" w14:textId="77777777" w:rsidR="00636E60" w:rsidRPr="00EE0C6B" w:rsidRDefault="00636E60" w:rsidP="005544F8">
            <w:pPr>
              <w:spacing w:after="0" w:line="360" w:lineRule="auto"/>
              <w:ind w:left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17B09" w:rsidRPr="00EE0C6B" w14:paraId="1F0F484F" w14:textId="77777777" w:rsidTr="00317B09">
        <w:tc>
          <w:tcPr>
            <w:tcW w:w="658" w:type="pct"/>
          </w:tcPr>
          <w:p w14:paraId="2ED22CC4" w14:textId="77777777" w:rsidR="00636E60" w:rsidRPr="00EE0C6B" w:rsidRDefault="00636E60" w:rsidP="005544F8">
            <w:pPr>
              <w:spacing w:after="0" w:line="360" w:lineRule="auto"/>
              <w:ind w:left="18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36" w:type="pct"/>
          </w:tcPr>
          <w:p w14:paraId="500C14F9" w14:textId="241CBC56" w:rsidR="00636E60" w:rsidRPr="00EE0C6B" w:rsidRDefault="00400AC9" w:rsidP="005544F8">
            <w:pPr>
              <w:spacing w:after="0"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2.8 </w:t>
            </w:r>
            <w:r w:rsidR="00636E60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Reflection</w:t>
            </w:r>
          </w:p>
        </w:tc>
        <w:tc>
          <w:tcPr>
            <w:tcW w:w="206" w:type="pct"/>
          </w:tcPr>
          <w:p w14:paraId="7A8D7004" w14:textId="77777777" w:rsidR="00636E60" w:rsidRPr="00EE0C6B" w:rsidRDefault="00636E60" w:rsidP="005544F8">
            <w:pPr>
              <w:spacing w:after="0" w:line="360" w:lineRule="auto"/>
              <w:ind w:left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17B09" w:rsidRPr="00EE0C6B" w14:paraId="2B65B220" w14:textId="77777777" w:rsidTr="00317B09">
        <w:trPr>
          <w:trHeight w:val="143"/>
        </w:trPr>
        <w:tc>
          <w:tcPr>
            <w:tcW w:w="4794" w:type="pct"/>
            <w:gridSpan w:val="2"/>
            <w:shd w:val="clear" w:color="auto" w:fill="F3F3F3"/>
          </w:tcPr>
          <w:p w14:paraId="2855C61C" w14:textId="486AE652" w:rsidR="00636E60" w:rsidRPr="00EE0C6B" w:rsidRDefault="00636E60" w:rsidP="005544F8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426"/>
              <w:rPr>
                <w:rFonts w:ascii="Calibri" w:hAnsi="Calibri" w:cs="Calibri"/>
                <w:i w:val="0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/>
                <w:i w:val="0"/>
                <w:color w:val="000000" w:themeColor="text1"/>
                <w:sz w:val="20"/>
                <w:szCs w:val="20"/>
              </w:rPr>
              <w:t>Field Experience Documents</w:t>
            </w:r>
          </w:p>
        </w:tc>
        <w:tc>
          <w:tcPr>
            <w:tcW w:w="206" w:type="pct"/>
            <w:shd w:val="clear" w:color="auto" w:fill="F3F3F3"/>
          </w:tcPr>
          <w:p w14:paraId="7D9DD79E" w14:textId="77777777" w:rsidR="00636E60" w:rsidRPr="00EE0C6B" w:rsidRDefault="00636E60" w:rsidP="005544F8">
            <w:pPr>
              <w:spacing w:after="0" w:line="360" w:lineRule="auto"/>
              <w:ind w:left="36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317B09" w:rsidRPr="00EE0C6B" w14:paraId="1138B7AD" w14:textId="77777777" w:rsidTr="00317B09">
        <w:tc>
          <w:tcPr>
            <w:tcW w:w="658" w:type="pct"/>
          </w:tcPr>
          <w:p w14:paraId="776F347D" w14:textId="77777777" w:rsidR="00636E60" w:rsidRPr="00EE0C6B" w:rsidRDefault="00636E60" w:rsidP="005544F8">
            <w:pPr>
              <w:spacing w:after="0" w:line="360" w:lineRule="auto"/>
              <w:ind w:left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36" w:type="pct"/>
          </w:tcPr>
          <w:p w14:paraId="003D8877" w14:textId="07EE8D2E" w:rsidR="00636E60" w:rsidRPr="00EE0C6B" w:rsidRDefault="00400AC9" w:rsidP="005544F8">
            <w:pPr>
              <w:spacing w:after="0"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3.1 </w:t>
            </w:r>
            <w:r w:rsidR="00736282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Field Experience Log</w:t>
            </w:r>
            <w:r w:rsidR="00636E60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(100 hours</w:t>
            </w:r>
            <w:r w:rsidR="001F178A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total</w:t>
            </w:r>
            <w:r w:rsidR="00636E60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  <w:r w:rsidR="005544F8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– see attached</w:t>
            </w:r>
          </w:p>
        </w:tc>
        <w:tc>
          <w:tcPr>
            <w:tcW w:w="206" w:type="pct"/>
          </w:tcPr>
          <w:p w14:paraId="53A8E3D1" w14:textId="77777777" w:rsidR="00636E60" w:rsidRPr="00EE0C6B" w:rsidRDefault="00636E60" w:rsidP="005544F8">
            <w:pPr>
              <w:spacing w:after="0" w:line="360" w:lineRule="auto"/>
              <w:ind w:left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17B09" w:rsidRPr="00EE0C6B" w14:paraId="4614EB98" w14:textId="77777777" w:rsidTr="00317B09">
        <w:tc>
          <w:tcPr>
            <w:tcW w:w="658" w:type="pct"/>
          </w:tcPr>
          <w:p w14:paraId="47EB152E" w14:textId="77777777" w:rsidR="00636E60" w:rsidRPr="00EE0C6B" w:rsidRDefault="00636E60" w:rsidP="005544F8">
            <w:pPr>
              <w:spacing w:after="0" w:line="360" w:lineRule="auto"/>
              <w:ind w:left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36" w:type="pct"/>
          </w:tcPr>
          <w:p w14:paraId="20985B6E" w14:textId="1E8EB9DB" w:rsidR="00636E60" w:rsidRPr="00EE0C6B" w:rsidRDefault="00400AC9" w:rsidP="005544F8">
            <w:pPr>
              <w:spacing w:after="0"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3.2 </w:t>
            </w:r>
            <w:r w:rsidR="00317B09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Link to </w:t>
            </w:r>
            <w:r w:rsidR="008148A3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Video </w:t>
            </w:r>
            <w:r w:rsidR="00636E60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</w:t>
            </w:r>
            <w:r w:rsidR="008148A3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15 – 30 </w:t>
            </w:r>
            <w:r w:rsidR="00636E60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minutes) - Candidate delivery of instruction, intervention or related practice (may be previously used for a class)</w:t>
            </w:r>
          </w:p>
        </w:tc>
        <w:tc>
          <w:tcPr>
            <w:tcW w:w="206" w:type="pct"/>
          </w:tcPr>
          <w:p w14:paraId="0FF85D03" w14:textId="77777777" w:rsidR="00636E60" w:rsidRPr="00EE0C6B" w:rsidRDefault="00636E60" w:rsidP="005544F8">
            <w:pPr>
              <w:spacing w:after="0" w:line="360" w:lineRule="auto"/>
              <w:ind w:left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17B09" w:rsidRPr="00EE0C6B" w14:paraId="217596B0" w14:textId="77777777" w:rsidTr="00317B09">
        <w:tc>
          <w:tcPr>
            <w:tcW w:w="4794" w:type="pct"/>
            <w:gridSpan w:val="2"/>
            <w:shd w:val="clear" w:color="auto" w:fill="F3F3F3"/>
          </w:tcPr>
          <w:p w14:paraId="2B9F0634" w14:textId="4ACBA3B9" w:rsidR="00636E60" w:rsidRPr="00EE0C6B" w:rsidRDefault="00636E60" w:rsidP="005544F8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426"/>
              <w:rPr>
                <w:rFonts w:ascii="Calibri" w:hAnsi="Calibri" w:cs="Calibri"/>
                <w:b/>
                <w:i w:val="0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/>
                <w:i w:val="0"/>
                <w:color w:val="000000" w:themeColor="text1"/>
                <w:sz w:val="20"/>
                <w:szCs w:val="20"/>
              </w:rPr>
              <w:t>Evaluations</w:t>
            </w:r>
          </w:p>
        </w:tc>
        <w:tc>
          <w:tcPr>
            <w:tcW w:w="206" w:type="pct"/>
            <w:shd w:val="clear" w:color="auto" w:fill="F3F3F3"/>
          </w:tcPr>
          <w:p w14:paraId="0EBDC685" w14:textId="77777777" w:rsidR="00636E60" w:rsidRPr="00EE0C6B" w:rsidRDefault="00636E60" w:rsidP="005544F8">
            <w:pPr>
              <w:spacing w:after="0" w:line="360" w:lineRule="auto"/>
              <w:ind w:left="36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317B09" w:rsidRPr="00EE0C6B" w14:paraId="06D6C661" w14:textId="77777777" w:rsidTr="00317B09">
        <w:tc>
          <w:tcPr>
            <w:tcW w:w="658" w:type="pct"/>
          </w:tcPr>
          <w:p w14:paraId="3722A485" w14:textId="77777777" w:rsidR="00636E60" w:rsidRPr="00EE0C6B" w:rsidRDefault="00636E60" w:rsidP="005544F8">
            <w:pPr>
              <w:spacing w:after="0" w:line="360" w:lineRule="auto"/>
              <w:ind w:left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36" w:type="pct"/>
          </w:tcPr>
          <w:p w14:paraId="470E6034" w14:textId="57993AB8" w:rsidR="00636E60" w:rsidRPr="00EE0C6B" w:rsidRDefault="00400AC9" w:rsidP="005544F8">
            <w:pPr>
              <w:spacing w:after="0"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4.1 </w:t>
            </w:r>
            <w:r w:rsidR="00636E60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Self-Evaluation (</w:t>
            </w:r>
            <w:r w:rsidR="00741DCD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completed</w:t>
            </w:r>
            <w:r w:rsidR="00636E60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by candidate)</w:t>
            </w:r>
            <w:r w:rsidR="005544F8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- see </w:t>
            </w:r>
            <w:r w:rsidR="004669A3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attached</w:t>
            </w:r>
          </w:p>
        </w:tc>
        <w:tc>
          <w:tcPr>
            <w:tcW w:w="206" w:type="pct"/>
          </w:tcPr>
          <w:p w14:paraId="0D8D7539" w14:textId="77777777" w:rsidR="00636E60" w:rsidRPr="00EE0C6B" w:rsidRDefault="00636E60" w:rsidP="005544F8">
            <w:pPr>
              <w:spacing w:after="0" w:line="360" w:lineRule="auto"/>
              <w:ind w:left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17B09" w:rsidRPr="00EE0C6B" w14:paraId="7E45F05C" w14:textId="77777777" w:rsidTr="00317B09">
        <w:tc>
          <w:tcPr>
            <w:tcW w:w="658" w:type="pct"/>
          </w:tcPr>
          <w:p w14:paraId="78853354" w14:textId="0D280BEF" w:rsidR="00636E60" w:rsidRPr="00EE0C6B" w:rsidRDefault="00636E60" w:rsidP="004669A3">
            <w:pPr>
              <w:spacing w:after="0"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36" w:type="pct"/>
          </w:tcPr>
          <w:p w14:paraId="290F1148" w14:textId="707A7BCA" w:rsidR="00636E60" w:rsidRPr="00EE0C6B" w:rsidRDefault="00317B09" w:rsidP="005544F8">
            <w:pPr>
              <w:spacing w:after="0"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 xml:space="preserve">4.2 </w:t>
            </w:r>
            <w:r w:rsidR="00636E60" w:rsidRPr="00EE0C6B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Final Evaluation Report</w:t>
            </w:r>
            <w:r w:rsidR="00636E60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</w:t>
            </w:r>
            <w:r w:rsidR="00741DCD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completed</w:t>
            </w:r>
            <w:r w:rsidR="00636E60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by faculty</w:t>
            </w:r>
            <w:r w:rsidR="004669A3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after Portfolio submission and review</w:t>
            </w:r>
            <w:r w:rsidR="00636E60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  <w:r w:rsidR="004669A3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– Candidate has the option of adding </w:t>
            </w:r>
            <w:r w:rsidR="00A80D53"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the report to the Portfolio for future use (e.g., to share with prospective employers)</w:t>
            </w:r>
          </w:p>
        </w:tc>
        <w:tc>
          <w:tcPr>
            <w:tcW w:w="206" w:type="pct"/>
          </w:tcPr>
          <w:p w14:paraId="4216C30F" w14:textId="77777777" w:rsidR="00636E60" w:rsidRPr="00EE0C6B" w:rsidRDefault="00636E60" w:rsidP="005544F8">
            <w:pPr>
              <w:spacing w:after="0" w:line="360" w:lineRule="auto"/>
              <w:ind w:left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422276B4" w14:textId="13193211" w:rsidR="00B00778" w:rsidRPr="00EE0C6B" w:rsidRDefault="00B00778" w:rsidP="00317B0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48A27E42" w14:textId="77777777" w:rsidR="005544F8" w:rsidRPr="00EE0C6B" w:rsidRDefault="005544F8" w:rsidP="00317B0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2673DD86" w14:textId="77777777" w:rsidR="005544F8" w:rsidRPr="00EE0C6B" w:rsidRDefault="005544F8" w:rsidP="005544F8">
      <w:pPr>
        <w:spacing w:after="0" w:line="24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71E9BBE8" w14:textId="77777777" w:rsidR="005544F8" w:rsidRPr="00EE0C6B" w:rsidRDefault="005544F8" w:rsidP="005544F8">
      <w:pPr>
        <w:spacing w:after="0" w:line="24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16A5F37D" w14:textId="77777777" w:rsidR="005544F8" w:rsidRPr="00EE0C6B" w:rsidRDefault="005544F8" w:rsidP="005544F8">
      <w:pPr>
        <w:spacing w:after="0" w:line="24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39083DFE" w14:textId="77777777" w:rsidR="005544F8" w:rsidRPr="00EE0C6B" w:rsidRDefault="005544F8" w:rsidP="005544F8">
      <w:pPr>
        <w:spacing w:after="0" w:line="24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68FB6628" w14:textId="77777777" w:rsidR="005544F8" w:rsidRPr="00EE0C6B" w:rsidRDefault="005544F8" w:rsidP="005544F8">
      <w:pPr>
        <w:spacing w:after="0" w:line="24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60F38251" w14:textId="77777777" w:rsidR="005544F8" w:rsidRPr="00EE0C6B" w:rsidRDefault="005544F8" w:rsidP="005544F8">
      <w:pPr>
        <w:spacing w:after="0" w:line="24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0FC99C03" w14:textId="4768F2D5" w:rsidR="005544F8" w:rsidRDefault="005544F8" w:rsidP="005544F8">
      <w:pPr>
        <w:spacing w:after="0" w:line="24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2038B7B0" w14:textId="3AEB9A67" w:rsidR="00DE3012" w:rsidRDefault="00DE3012" w:rsidP="005544F8">
      <w:pPr>
        <w:spacing w:after="0" w:line="24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7B8F357C" w14:textId="4003CE9B" w:rsidR="00DE3012" w:rsidRDefault="00DE3012" w:rsidP="005544F8">
      <w:pPr>
        <w:spacing w:after="0" w:line="24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6D19F430" w14:textId="17B9B426" w:rsidR="00DE3012" w:rsidRDefault="00DE3012" w:rsidP="005544F8">
      <w:pPr>
        <w:spacing w:after="0" w:line="24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4A40E00F" w14:textId="77777777" w:rsidR="00DE3012" w:rsidRPr="00EE0C6B" w:rsidRDefault="00DE3012" w:rsidP="005544F8">
      <w:pPr>
        <w:spacing w:after="0" w:line="24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419FECBF" w14:textId="071A1194" w:rsidR="005544F8" w:rsidRPr="00EE0C6B" w:rsidRDefault="005544F8" w:rsidP="005544F8">
      <w:pPr>
        <w:spacing w:after="0" w:line="24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4BD1F049" w14:textId="77777777" w:rsidR="005544F8" w:rsidRPr="00EE0C6B" w:rsidRDefault="005544F8" w:rsidP="005544F8">
      <w:pPr>
        <w:spacing w:after="0" w:line="24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139FE211" w14:textId="35E07984" w:rsidR="005544F8" w:rsidRDefault="005544F8" w:rsidP="00EE0C6B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DE3012">
        <w:rPr>
          <w:rFonts w:ascii="Calibri" w:hAnsi="Calibri" w:cs="Calibri"/>
          <w:b/>
          <w:color w:val="000000" w:themeColor="text1"/>
        </w:rPr>
        <w:lastRenderedPageBreak/>
        <w:t>Field Experience Log</w:t>
      </w:r>
    </w:p>
    <w:p w14:paraId="7FA27D2A" w14:textId="77777777" w:rsidR="00DE3012" w:rsidRPr="00DE3012" w:rsidRDefault="00DE3012" w:rsidP="00EE0C6B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77B05920" w14:textId="77777777" w:rsidR="005544F8" w:rsidRPr="00EE0C6B" w:rsidRDefault="005544F8" w:rsidP="005544F8">
      <w:pPr>
        <w:pStyle w:val="NormalWeb"/>
        <w:shd w:val="clear" w:color="auto" w:fill="FFFFFF"/>
        <w:spacing w:before="30" w:beforeAutospacing="0" w:after="60" w:afterAutospacing="0"/>
        <w:rPr>
          <w:rFonts w:ascii="Calibri" w:hAnsi="Calibri" w:cs="Calibri"/>
          <w:color w:val="565656"/>
          <w:sz w:val="20"/>
          <w:szCs w:val="20"/>
        </w:rPr>
      </w:pPr>
      <w:r w:rsidRPr="00EE0C6B">
        <w:rPr>
          <w:rFonts w:ascii="Calibri" w:hAnsi="Calibri" w:cs="Calibri"/>
          <w:color w:val="565656"/>
          <w:sz w:val="20"/>
          <w:szCs w:val="20"/>
        </w:rPr>
        <w:t>Please fill out the relevant documentation of your 100 hours of autism related field experience (includes observation and direct service as a part of course assignments and while working with individuals on the autism spectrum in school, home, community, clinic, work or related settings).</w:t>
      </w:r>
    </w:p>
    <w:p w14:paraId="43580E3F" w14:textId="77777777" w:rsidR="005544F8" w:rsidRPr="00EE0C6B" w:rsidRDefault="005544F8" w:rsidP="005544F8">
      <w:pPr>
        <w:pStyle w:val="NormalWeb"/>
        <w:shd w:val="clear" w:color="auto" w:fill="FFFFFF"/>
        <w:spacing w:before="30" w:beforeAutospacing="0" w:after="60" w:afterAutospacing="0"/>
        <w:rPr>
          <w:rFonts w:ascii="Calibri" w:hAnsi="Calibri" w:cs="Calibri"/>
          <w:color w:val="565656"/>
          <w:sz w:val="20"/>
          <w:szCs w:val="20"/>
        </w:rPr>
      </w:pPr>
    </w:p>
    <w:p w14:paraId="242756D6" w14:textId="77777777" w:rsidR="005544F8" w:rsidRPr="00EE0C6B" w:rsidRDefault="005544F8" w:rsidP="005544F8">
      <w:pPr>
        <w:pStyle w:val="NormalWeb"/>
        <w:shd w:val="clear" w:color="auto" w:fill="FFFFFF"/>
        <w:spacing w:before="30" w:beforeAutospacing="0" w:after="60" w:afterAutospacing="0"/>
        <w:rPr>
          <w:rFonts w:ascii="Calibri" w:hAnsi="Calibri" w:cs="Calibri"/>
          <w:color w:val="565656"/>
          <w:sz w:val="20"/>
          <w:szCs w:val="20"/>
        </w:rPr>
      </w:pPr>
      <w:r w:rsidRPr="00EE0C6B">
        <w:rPr>
          <w:rFonts w:ascii="Calibri" w:hAnsi="Calibri" w:cs="Calibri"/>
          <w:color w:val="565656"/>
          <w:sz w:val="20"/>
          <w:szCs w:val="20"/>
        </w:rPr>
        <w:t>Student Name: _____________________________</w:t>
      </w:r>
    </w:p>
    <w:p w14:paraId="143B2251" w14:textId="77777777" w:rsidR="005544F8" w:rsidRPr="00EE0C6B" w:rsidRDefault="005544F8" w:rsidP="005544F8">
      <w:pPr>
        <w:pStyle w:val="NormalWeb"/>
        <w:shd w:val="clear" w:color="auto" w:fill="FFFFFF"/>
        <w:spacing w:before="30" w:beforeAutospacing="0" w:after="60" w:afterAutospacing="0"/>
        <w:rPr>
          <w:rFonts w:ascii="Calibri" w:hAnsi="Calibri" w:cs="Calibri"/>
          <w:color w:val="56565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9"/>
        <w:gridCol w:w="2436"/>
        <w:gridCol w:w="2910"/>
        <w:gridCol w:w="1671"/>
      </w:tblGrid>
      <w:tr w:rsidR="005544F8" w:rsidRPr="00EE0C6B" w14:paraId="5D883139" w14:textId="77777777" w:rsidTr="001150CB">
        <w:tc>
          <w:tcPr>
            <w:tcW w:w="1609" w:type="dxa"/>
          </w:tcPr>
          <w:p w14:paraId="3BA03759" w14:textId="77777777" w:rsidR="005544F8" w:rsidRPr="00EE0C6B" w:rsidRDefault="005544F8" w:rsidP="001150CB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Date</w:t>
            </w:r>
          </w:p>
          <w:p w14:paraId="0C781479" w14:textId="77777777" w:rsidR="005544F8" w:rsidRPr="00EE0C6B" w:rsidRDefault="005544F8" w:rsidP="001150CB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(Semester/Year</w:t>
            </w:r>
          </w:p>
        </w:tc>
        <w:tc>
          <w:tcPr>
            <w:tcW w:w="2436" w:type="dxa"/>
          </w:tcPr>
          <w:p w14:paraId="75B60FD7" w14:textId="77777777" w:rsidR="005544F8" w:rsidRPr="00EE0C6B" w:rsidRDefault="005544F8" w:rsidP="001150CB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Setting/Site Name</w:t>
            </w:r>
          </w:p>
          <w:p w14:paraId="648A998C" w14:textId="77777777" w:rsidR="005544F8" w:rsidRPr="00EE0C6B" w:rsidRDefault="005544F8" w:rsidP="001150CB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</w:tcPr>
          <w:p w14:paraId="3431862C" w14:textId="77777777" w:rsidR="005544F8" w:rsidRPr="00EE0C6B" w:rsidRDefault="005544F8" w:rsidP="001150CB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Activity</w:t>
            </w:r>
          </w:p>
          <w:p w14:paraId="6AF5188E" w14:textId="77777777" w:rsidR="005544F8" w:rsidRPr="00EE0C6B" w:rsidRDefault="005544F8" w:rsidP="001150CB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7BBDFDE" w14:textId="77777777" w:rsidR="005544F8" w:rsidRPr="00EE0C6B" w:rsidRDefault="005544F8" w:rsidP="001150CB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Time Spent (hours/minutes)</w:t>
            </w:r>
          </w:p>
        </w:tc>
      </w:tr>
      <w:tr w:rsidR="005544F8" w:rsidRPr="00EE0C6B" w14:paraId="5ECC5983" w14:textId="77777777" w:rsidTr="001150CB">
        <w:tc>
          <w:tcPr>
            <w:tcW w:w="0" w:type="auto"/>
          </w:tcPr>
          <w:p w14:paraId="4CD52EEC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36" w:type="dxa"/>
          </w:tcPr>
          <w:p w14:paraId="2975FE0F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</w:tcPr>
          <w:p w14:paraId="2EA055A0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58019C3D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50D3A414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</w:tcPr>
          <w:p w14:paraId="624A7DE3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544F8" w:rsidRPr="00EE0C6B" w14:paraId="12E08D53" w14:textId="77777777" w:rsidTr="001150CB">
        <w:tc>
          <w:tcPr>
            <w:tcW w:w="0" w:type="auto"/>
          </w:tcPr>
          <w:p w14:paraId="6092CD94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36" w:type="dxa"/>
          </w:tcPr>
          <w:p w14:paraId="7AE5A28B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</w:tcPr>
          <w:p w14:paraId="5699B165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6137561E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22EFA25A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E342E49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544F8" w:rsidRPr="00EE0C6B" w14:paraId="4321AEBE" w14:textId="77777777" w:rsidTr="001150CB">
        <w:tc>
          <w:tcPr>
            <w:tcW w:w="0" w:type="auto"/>
          </w:tcPr>
          <w:p w14:paraId="4B9A64B8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36" w:type="dxa"/>
          </w:tcPr>
          <w:p w14:paraId="7D16D031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</w:tcPr>
          <w:p w14:paraId="6F3DD079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3173A8B8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3D1C70F0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72575B7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544F8" w:rsidRPr="00EE0C6B" w14:paraId="441ED0E3" w14:textId="77777777" w:rsidTr="001150CB">
        <w:trPr>
          <w:trHeight w:val="332"/>
        </w:trPr>
        <w:tc>
          <w:tcPr>
            <w:tcW w:w="0" w:type="auto"/>
          </w:tcPr>
          <w:p w14:paraId="7E3990E0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36" w:type="dxa"/>
          </w:tcPr>
          <w:p w14:paraId="0177EA20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</w:tcPr>
          <w:p w14:paraId="705D6DC4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4B48F57C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48FE7009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</w:tcPr>
          <w:p w14:paraId="641CE8E0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544F8" w:rsidRPr="00EE0C6B" w14:paraId="772345D6" w14:textId="77777777" w:rsidTr="001150CB">
        <w:tc>
          <w:tcPr>
            <w:tcW w:w="0" w:type="auto"/>
          </w:tcPr>
          <w:p w14:paraId="6D406370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36" w:type="dxa"/>
          </w:tcPr>
          <w:p w14:paraId="5A33AAC2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</w:tcPr>
          <w:p w14:paraId="0B2AC40C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02AFC599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2C3C2BC4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</w:tcPr>
          <w:p w14:paraId="1B67C5FD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544F8" w:rsidRPr="00EE0C6B" w14:paraId="1634385E" w14:textId="77777777" w:rsidTr="001150CB">
        <w:tc>
          <w:tcPr>
            <w:tcW w:w="0" w:type="auto"/>
          </w:tcPr>
          <w:p w14:paraId="1F3B1529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36" w:type="dxa"/>
          </w:tcPr>
          <w:p w14:paraId="38A78775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</w:tcPr>
          <w:p w14:paraId="0E046AE0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5A84BEE8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319CB894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</w:tcPr>
          <w:p w14:paraId="6461C7A0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544F8" w:rsidRPr="00EE0C6B" w14:paraId="25916732" w14:textId="77777777" w:rsidTr="001150CB">
        <w:tc>
          <w:tcPr>
            <w:tcW w:w="6955" w:type="dxa"/>
            <w:gridSpan w:val="3"/>
          </w:tcPr>
          <w:p w14:paraId="58E10BEE" w14:textId="77777777" w:rsidR="005544F8" w:rsidRPr="00EE0C6B" w:rsidRDefault="005544F8" w:rsidP="001150CB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Total </w:t>
            </w:r>
          </w:p>
          <w:p w14:paraId="4C938B9E" w14:textId="77777777" w:rsidR="005544F8" w:rsidRPr="00EE0C6B" w:rsidRDefault="005544F8" w:rsidP="001150CB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(100 hours minimum)</w:t>
            </w:r>
          </w:p>
        </w:tc>
        <w:tc>
          <w:tcPr>
            <w:tcW w:w="1671" w:type="dxa"/>
          </w:tcPr>
          <w:p w14:paraId="5360044A" w14:textId="77777777" w:rsidR="005544F8" w:rsidRPr="00EE0C6B" w:rsidRDefault="005544F8" w:rsidP="001150C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03B4AD49" w14:textId="04783B80" w:rsidR="00317B09" w:rsidRPr="00EE0C6B" w:rsidRDefault="00317B09" w:rsidP="00306B3C">
      <w:pPr>
        <w:spacing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138F47FD" w14:textId="7AC96802" w:rsidR="00EE0C6B" w:rsidRPr="00EE0C6B" w:rsidRDefault="00EE0C6B" w:rsidP="00306B3C">
      <w:pPr>
        <w:spacing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1BA81049" w14:textId="1985883B" w:rsidR="00EE0C6B" w:rsidRPr="00EE0C6B" w:rsidRDefault="00EE0C6B" w:rsidP="00306B3C">
      <w:pPr>
        <w:spacing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32C7EC64" w14:textId="3AC49192" w:rsidR="00EE0C6B" w:rsidRPr="00EE0C6B" w:rsidRDefault="00EE0C6B" w:rsidP="00306B3C">
      <w:pPr>
        <w:spacing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22114E54" w14:textId="0CF6C084" w:rsidR="00EE0C6B" w:rsidRPr="00EE0C6B" w:rsidRDefault="00EE0C6B" w:rsidP="00306B3C">
      <w:pPr>
        <w:spacing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71442CD1" w14:textId="5F7835DA" w:rsidR="00EE0C6B" w:rsidRPr="00EE0C6B" w:rsidRDefault="00EE0C6B" w:rsidP="00306B3C">
      <w:pPr>
        <w:spacing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21B6C3A4" w14:textId="7B7C1D14" w:rsidR="00EE0C6B" w:rsidRPr="00EE0C6B" w:rsidRDefault="00EE0C6B" w:rsidP="00306B3C">
      <w:pPr>
        <w:spacing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63747270" w14:textId="05571B5E" w:rsidR="00EE0C6B" w:rsidRPr="00EE0C6B" w:rsidRDefault="00EE0C6B" w:rsidP="00306B3C">
      <w:pPr>
        <w:spacing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79C18F1B" w14:textId="119BF439" w:rsidR="00EE0C6B" w:rsidRPr="00EE0C6B" w:rsidRDefault="00EE0C6B" w:rsidP="00306B3C">
      <w:pPr>
        <w:spacing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20240CE3" w14:textId="77777777" w:rsidR="00EE0C6B" w:rsidRDefault="00EE0C6B" w:rsidP="00EE0C6B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9B03CE0" w14:textId="77777777" w:rsidR="00EE0C6B" w:rsidRDefault="00EE0C6B" w:rsidP="00EE0C6B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A1D4F0E" w14:textId="77777777" w:rsidR="00EE0C6B" w:rsidRDefault="00EE0C6B" w:rsidP="00EE0C6B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7813322" w14:textId="72D74086" w:rsidR="00EE0C6B" w:rsidRPr="00EE0C6B" w:rsidRDefault="00EE0C6B" w:rsidP="00EE0C6B">
      <w:pPr>
        <w:spacing w:after="0" w:line="240" w:lineRule="auto"/>
        <w:jc w:val="center"/>
        <w:rPr>
          <w:rFonts w:ascii="Calibri" w:hAnsi="Calibri" w:cs="Calibri"/>
          <w:i/>
          <w:iCs/>
          <w:color w:val="000000" w:themeColor="text1"/>
        </w:rPr>
      </w:pPr>
      <w:bookmarkStart w:id="0" w:name="_GoBack"/>
      <w:bookmarkEnd w:id="0"/>
      <w:r w:rsidRPr="00EE0C6B">
        <w:rPr>
          <w:rFonts w:ascii="Calibri" w:hAnsi="Calibri" w:cs="Calibri"/>
          <w:b/>
          <w:color w:val="000000" w:themeColor="text1"/>
        </w:rPr>
        <w:lastRenderedPageBreak/>
        <w:t>Self-Evaluation</w:t>
      </w:r>
      <w:r w:rsidRPr="00EE0C6B">
        <w:rPr>
          <w:rFonts w:ascii="Calibri" w:hAnsi="Calibri" w:cs="Calibri"/>
          <w:b/>
          <w:color w:val="000000" w:themeColor="text1"/>
        </w:rPr>
        <w:br/>
      </w:r>
    </w:p>
    <w:p w14:paraId="2E3180E2" w14:textId="1F7DC87D" w:rsidR="00EE0C6B" w:rsidRPr="00EE0C6B" w:rsidRDefault="00EE0C6B" w:rsidP="00EE0C6B">
      <w:pPr>
        <w:spacing w:after="0" w:line="240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EE0C6B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Using the rating scale and form below, please rate yourself on the following competencies in autism related knowledge and skill at the beginning, middle and end of </w:t>
      </w:r>
      <w:proofErr w:type="gramStart"/>
      <w:r w:rsidRPr="00EE0C6B">
        <w:rPr>
          <w:rFonts w:ascii="Calibri" w:hAnsi="Calibri" w:cs="Calibri"/>
          <w:i/>
          <w:iCs/>
          <w:color w:val="000000" w:themeColor="text1"/>
          <w:sz w:val="22"/>
          <w:szCs w:val="22"/>
        </w:rPr>
        <w:t>your</w:t>
      </w:r>
      <w:proofErr w:type="gramEnd"/>
      <w:r w:rsidRPr="00EE0C6B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participate in the Autism Spectrum Graduate Certificate</w:t>
      </w:r>
      <w:r w:rsidRPr="00EE0C6B">
        <w:rPr>
          <w:rFonts w:ascii="Calibri" w:hAnsi="Calibri" w:cs="Calibri"/>
          <w:i/>
          <w:iCs/>
          <w:sz w:val="22"/>
          <w:szCs w:val="22"/>
        </w:rPr>
        <w:br/>
      </w:r>
      <w:r w:rsidRPr="00EE0C6B">
        <w:rPr>
          <w:rFonts w:ascii="Calibri" w:hAnsi="Calibri" w:cs="Calibri"/>
          <w:i/>
          <w:iCs/>
          <w:sz w:val="22"/>
          <w:szCs w:val="22"/>
        </w:rPr>
        <w:br/>
      </w:r>
      <w:r w:rsidRPr="00EE0C6B">
        <w:rPr>
          <w:rFonts w:ascii="Calibri" w:hAnsi="Calibri" w:cs="Calibri"/>
          <w:iCs/>
          <w:color w:val="000000" w:themeColor="text1"/>
          <w:sz w:val="22"/>
          <w:szCs w:val="22"/>
        </w:rPr>
        <w:t xml:space="preserve">Rating Scale: </w:t>
      </w:r>
      <w:r w:rsidRPr="00EE0C6B">
        <w:rPr>
          <w:rFonts w:ascii="Calibri" w:hAnsi="Calibri" w:cs="Calibri"/>
          <w:b/>
          <w:iCs/>
          <w:color w:val="000000" w:themeColor="text1"/>
          <w:sz w:val="22"/>
          <w:szCs w:val="22"/>
        </w:rPr>
        <w:t>3</w:t>
      </w:r>
      <w:r w:rsidRPr="00EE0C6B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= highly competent </w:t>
      </w:r>
      <w:r w:rsidRPr="00EE0C6B">
        <w:rPr>
          <w:rFonts w:ascii="Calibri" w:hAnsi="Calibri" w:cs="Calibri"/>
          <w:b/>
          <w:iCs/>
          <w:color w:val="000000" w:themeColor="text1"/>
          <w:sz w:val="22"/>
          <w:szCs w:val="22"/>
        </w:rPr>
        <w:t>2</w:t>
      </w:r>
      <w:r w:rsidRPr="00EE0C6B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= moderately competent   </w:t>
      </w:r>
      <w:r w:rsidRPr="00EE0C6B">
        <w:rPr>
          <w:rFonts w:ascii="Calibri" w:hAnsi="Calibri" w:cs="Calibri"/>
          <w:b/>
          <w:iCs/>
          <w:color w:val="000000" w:themeColor="text1"/>
          <w:sz w:val="22"/>
          <w:szCs w:val="22"/>
        </w:rPr>
        <w:t xml:space="preserve">1 </w:t>
      </w:r>
      <w:r w:rsidRPr="00EE0C6B">
        <w:rPr>
          <w:rFonts w:ascii="Calibri" w:hAnsi="Calibri" w:cs="Calibri"/>
          <w:iCs/>
          <w:color w:val="000000" w:themeColor="text1"/>
          <w:sz w:val="22"/>
          <w:szCs w:val="22"/>
        </w:rPr>
        <w:t xml:space="preserve">= emerging competence   </w:t>
      </w:r>
      <w:r w:rsidRPr="00EE0C6B">
        <w:rPr>
          <w:rFonts w:ascii="Calibri" w:hAnsi="Calibri" w:cs="Calibri"/>
          <w:b/>
          <w:iCs/>
          <w:color w:val="000000" w:themeColor="text1"/>
          <w:sz w:val="22"/>
          <w:szCs w:val="22"/>
        </w:rPr>
        <w:t>0</w:t>
      </w:r>
      <w:r w:rsidRPr="00EE0C6B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= not yet competent</w:t>
      </w:r>
    </w:p>
    <w:p w14:paraId="3C2A1759" w14:textId="77777777" w:rsidR="00EE0C6B" w:rsidRPr="00EE0C6B" w:rsidRDefault="00EE0C6B" w:rsidP="00EE0C6B">
      <w:pPr>
        <w:spacing w:after="0" w:line="240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2"/>
        <w:gridCol w:w="957"/>
        <w:gridCol w:w="746"/>
        <w:gridCol w:w="497"/>
      </w:tblGrid>
      <w:tr w:rsidR="00BF6D72" w:rsidRPr="00EE0C6B" w14:paraId="3661E6B8" w14:textId="77777777" w:rsidTr="00BF6D72">
        <w:tc>
          <w:tcPr>
            <w:tcW w:w="3756" w:type="pct"/>
          </w:tcPr>
          <w:p w14:paraId="6F57E8B9" w14:textId="77777777" w:rsidR="00BF6D72" w:rsidRPr="00BF6D72" w:rsidRDefault="00BF6D72" w:rsidP="00BF6D72">
            <w:pPr>
              <w:spacing w:after="0" w:line="240" w:lineRule="auto"/>
              <w:ind w:left="36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</w:tcPr>
          <w:p w14:paraId="1A87F07A" w14:textId="235BCD5B" w:rsidR="00BF6D72" w:rsidRPr="00BF6D72" w:rsidRDefault="00BF6D72" w:rsidP="001150C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F6D72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Beginning</w:t>
            </w:r>
          </w:p>
        </w:tc>
        <w:tc>
          <w:tcPr>
            <w:tcW w:w="422" w:type="pct"/>
          </w:tcPr>
          <w:p w14:paraId="6C21481E" w14:textId="19B0C473" w:rsidR="00BF6D72" w:rsidRPr="00BF6D72" w:rsidRDefault="00BF6D72" w:rsidP="001150C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F6D72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Middle </w:t>
            </w:r>
          </w:p>
        </w:tc>
        <w:tc>
          <w:tcPr>
            <w:tcW w:w="281" w:type="pct"/>
          </w:tcPr>
          <w:p w14:paraId="53D891E5" w14:textId="612AE0A4" w:rsidR="00BF6D72" w:rsidRPr="00BF6D72" w:rsidRDefault="00BF6D72" w:rsidP="001150C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F6D72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End</w:t>
            </w:r>
          </w:p>
        </w:tc>
      </w:tr>
      <w:tr w:rsidR="00BF6D72" w:rsidRPr="00EE0C6B" w14:paraId="4F50CF2C" w14:textId="77777777" w:rsidTr="00BF6D72">
        <w:tc>
          <w:tcPr>
            <w:tcW w:w="3756" w:type="pct"/>
          </w:tcPr>
          <w:p w14:paraId="35CE827B" w14:textId="77326E25" w:rsidR="00EE0C6B" w:rsidRPr="00EE0C6B" w:rsidRDefault="00EE0C6B" w:rsidP="00EE0C6B">
            <w:pPr>
              <w:numPr>
                <w:ilvl w:val="0"/>
                <w:numId w:val="29"/>
              </w:numPr>
              <w:tabs>
                <w:tab w:val="clear" w:pos="360"/>
                <w:tab w:val="num" w:pos="399"/>
              </w:tabs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Nature of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autism spectrum</w:t>
            </w:r>
            <w:r w:rsidRPr="00EE0C6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in theory and practice</w:t>
            </w:r>
          </w:p>
          <w:p w14:paraId="4E7077A8" w14:textId="77777777" w:rsidR="00EE0C6B" w:rsidRPr="00EE0C6B" w:rsidRDefault="00EE0C6B" w:rsidP="00EE0C6B">
            <w:pPr>
              <w:numPr>
                <w:ilvl w:val="1"/>
                <w:numId w:val="29"/>
              </w:numPr>
              <w:tabs>
                <w:tab w:val="num" w:pos="399"/>
              </w:tabs>
              <w:spacing w:after="0" w:line="240" w:lineRule="auto"/>
              <w:ind w:hanging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Historical and theoretical foundation</w:t>
            </w:r>
          </w:p>
          <w:p w14:paraId="4BAB531A" w14:textId="77777777" w:rsidR="00EE0C6B" w:rsidRPr="00EE0C6B" w:rsidRDefault="00EE0C6B" w:rsidP="00EE0C6B">
            <w:pPr>
              <w:numPr>
                <w:ilvl w:val="1"/>
                <w:numId w:val="29"/>
              </w:numPr>
              <w:tabs>
                <w:tab w:val="num" w:pos="399"/>
              </w:tabs>
              <w:spacing w:after="0" w:line="240" w:lineRule="auto"/>
              <w:ind w:hanging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Current definitions (state, federal)</w:t>
            </w:r>
          </w:p>
          <w:p w14:paraId="069FFBF1" w14:textId="77777777" w:rsidR="00EE0C6B" w:rsidRPr="00EE0C6B" w:rsidRDefault="00EE0C6B" w:rsidP="00EE0C6B">
            <w:pPr>
              <w:numPr>
                <w:ilvl w:val="1"/>
                <w:numId w:val="29"/>
              </w:numPr>
              <w:tabs>
                <w:tab w:val="num" w:pos="399"/>
              </w:tabs>
              <w:spacing w:after="0" w:line="240" w:lineRule="auto"/>
              <w:ind w:hanging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Early indicators, etiology, prevalence</w:t>
            </w:r>
          </w:p>
          <w:p w14:paraId="42910AD1" w14:textId="723798DE" w:rsidR="00EE0C6B" w:rsidRPr="00EE0C6B" w:rsidRDefault="00EE0C6B" w:rsidP="00EE0C6B">
            <w:pPr>
              <w:numPr>
                <w:ilvl w:val="1"/>
                <w:numId w:val="29"/>
              </w:numPr>
              <w:tabs>
                <w:tab w:val="num" w:pos="399"/>
              </w:tabs>
              <w:spacing w:after="0" w:line="240" w:lineRule="auto"/>
              <w:ind w:hanging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iagnostic tools, criteria (DSM</w:t>
            </w:r>
            <w:r w:rsidRPr="00EE0C6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) and differential diagnosis</w:t>
            </w:r>
          </w:p>
          <w:p w14:paraId="5158CB97" w14:textId="2B8419A7" w:rsidR="00EE0C6B" w:rsidRPr="00EE0C6B" w:rsidRDefault="00EE0C6B" w:rsidP="00EE0C6B">
            <w:pPr>
              <w:numPr>
                <w:ilvl w:val="1"/>
                <w:numId w:val="29"/>
              </w:numPr>
              <w:tabs>
                <w:tab w:val="num" w:pos="399"/>
              </w:tabs>
              <w:spacing w:after="0" w:line="240" w:lineRule="auto"/>
              <w:ind w:hanging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Characteristics associated with</w:t>
            </w:r>
            <w:r w:rsidR="000918B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the</w:t>
            </w:r>
            <w:r w:rsidRPr="00EE0C6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autism</w:t>
            </w:r>
            <w:r w:rsidR="000918B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spectrum</w:t>
            </w:r>
          </w:p>
          <w:p w14:paraId="56874DA0" w14:textId="77777777" w:rsidR="00EE0C6B" w:rsidRPr="00EE0C6B" w:rsidRDefault="00EE0C6B" w:rsidP="00EE0C6B">
            <w:pPr>
              <w:numPr>
                <w:ilvl w:val="1"/>
                <w:numId w:val="29"/>
              </w:numPr>
              <w:tabs>
                <w:tab w:val="num" w:pos="399"/>
              </w:tabs>
              <w:spacing w:after="0" w:line="240" w:lineRule="auto"/>
              <w:ind w:hanging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Current and emerging practices and service delivery models</w:t>
            </w:r>
          </w:p>
        </w:tc>
        <w:tc>
          <w:tcPr>
            <w:tcW w:w="541" w:type="pct"/>
          </w:tcPr>
          <w:p w14:paraId="1FB9D0F0" w14:textId="090625BB" w:rsidR="00EE0C6B" w:rsidRPr="00EE0C6B" w:rsidRDefault="00BF6D72" w:rsidP="001150C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</w:tcPr>
          <w:p w14:paraId="36914A8D" w14:textId="3C45C98E" w:rsidR="00EE0C6B" w:rsidRPr="00EE0C6B" w:rsidRDefault="00BF6D72" w:rsidP="001150C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</w:tcPr>
          <w:p w14:paraId="7EE5C202" w14:textId="52F2BF4D" w:rsidR="00EE0C6B" w:rsidRPr="00EE0C6B" w:rsidRDefault="00BF6D72" w:rsidP="001150C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F6D72" w:rsidRPr="00EE0C6B" w14:paraId="1289A7F8" w14:textId="77777777" w:rsidTr="00BF6D72">
        <w:tc>
          <w:tcPr>
            <w:tcW w:w="3756" w:type="pct"/>
          </w:tcPr>
          <w:p w14:paraId="6A289BFB" w14:textId="77777777" w:rsidR="00EE0C6B" w:rsidRPr="00EE0C6B" w:rsidRDefault="00EE0C6B" w:rsidP="00EE0C6B">
            <w:pPr>
              <w:numPr>
                <w:ilvl w:val="0"/>
                <w:numId w:val="29"/>
              </w:numPr>
              <w:tabs>
                <w:tab w:val="left" w:pos="-4902"/>
                <w:tab w:val="left" w:pos="-4845"/>
                <w:tab w:val="left" w:pos="-4731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Family support and partnerships</w:t>
            </w:r>
          </w:p>
          <w:p w14:paraId="32F4D396" w14:textId="77777777" w:rsidR="00EE0C6B" w:rsidRPr="00EE0C6B" w:rsidRDefault="00EE0C6B" w:rsidP="00EE0C6B">
            <w:pPr>
              <w:numPr>
                <w:ilvl w:val="1"/>
                <w:numId w:val="29"/>
              </w:numPr>
              <w:tabs>
                <w:tab w:val="left" w:pos="-4902"/>
                <w:tab w:val="left" w:pos="-4845"/>
                <w:tab w:val="left" w:pos="-4731"/>
                <w:tab w:val="left" w:pos="342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Supports parents and family members as active participants in all aspects of child’s education </w:t>
            </w:r>
          </w:p>
          <w:p w14:paraId="7565EE71" w14:textId="77777777" w:rsidR="00EE0C6B" w:rsidRPr="00EE0C6B" w:rsidRDefault="00EE0C6B" w:rsidP="00EE0C6B">
            <w:pPr>
              <w:numPr>
                <w:ilvl w:val="1"/>
                <w:numId w:val="29"/>
              </w:numPr>
              <w:tabs>
                <w:tab w:val="left" w:pos="-4902"/>
                <w:tab w:val="left" w:pos="-4845"/>
                <w:tab w:val="left" w:pos="-4731"/>
                <w:tab w:val="left" w:pos="342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Responsive to family culture, language, values, parenting styles and personal perspectives</w:t>
            </w:r>
          </w:p>
          <w:p w14:paraId="627953CB" w14:textId="77777777" w:rsidR="00EE0C6B" w:rsidRPr="00EE0C6B" w:rsidRDefault="00EE0C6B" w:rsidP="00EE0C6B">
            <w:pPr>
              <w:numPr>
                <w:ilvl w:val="1"/>
                <w:numId w:val="29"/>
              </w:numPr>
              <w:tabs>
                <w:tab w:val="left" w:pos="-4902"/>
                <w:tab w:val="left" w:pos="-4845"/>
                <w:tab w:val="left" w:pos="-4731"/>
                <w:tab w:val="left" w:pos="342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Facilitates communication between school, home and community</w:t>
            </w:r>
          </w:p>
          <w:p w14:paraId="63907E91" w14:textId="77777777" w:rsidR="00EE0C6B" w:rsidRPr="00EE0C6B" w:rsidRDefault="00EE0C6B" w:rsidP="00EE0C6B">
            <w:pPr>
              <w:numPr>
                <w:ilvl w:val="1"/>
                <w:numId w:val="29"/>
              </w:numPr>
              <w:tabs>
                <w:tab w:val="left" w:pos="-4902"/>
                <w:tab w:val="left" w:pos="-4845"/>
                <w:tab w:val="left" w:pos="-4731"/>
                <w:tab w:val="left" w:pos="342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Provides family with timely information, education and resources pertinent to child’s needs</w:t>
            </w:r>
          </w:p>
          <w:p w14:paraId="39546920" w14:textId="77777777" w:rsidR="00EE0C6B" w:rsidRPr="00EE0C6B" w:rsidRDefault="00EE0C6B" w:rsidP="00EE0C6B">
            <w:pPr>
              <w:numPr>
                <w:ilvl w:val="1"/>
                <w:numId w:val="29"/>
              </w:numPr>
              <w:tabs>
                <w:tab w:val="left" w:pos="-4902"/>
                <w:tab w:val="left" w:pos="-4845"/>
                <w:tab w:val="left" w:pos="-4731"/>
                <w:tab w:val="left" w:pos="342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Assists family in accessing community supports and services  </w:t>
            </w:r>
          </w:p>
          <w:p w14:paraId="7651D267" w14:textId="77777777" w:rsidR="00EE0C6B" w:rsidRPr="00EE0C6B" w:rsidRDefault="00EE0C6B" w:rsidP="00EE0C6B">
            <w:pPr>
              <w:numPr>
                <w:ilvl w:val="1"/>
                <w:numId w:val="29"/>
              </w:numPr>
              <w:tabs>
                <w:tab w:val="left" w:pos="-4902"/>
                <w:tab w:val="left" w:pos="-4845"/>
                <w:tab w:val="left" w:pos="-4731"/>
                <w:tab w:val="left" w:pos="342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Collaborates with family to improve professional practices</w:t>
            </w:r>
          </w:p>
        </w:tc>
        <w:tc>
          <w:tcPr>
            <w:tcW w:w="541" w:type="pct"/>
          </w:tcPr>
          <w:p w14:paraId="3C01BB32" w14:textId="77777777" w:rsidR="00EE0C6B" w:rsidRPr="00EE0C6B" w:rsidRDefault="00EE0C6B" w:rsidP="001150CB">
            <w:pPr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pct"/>
          </w:tcPr>
          <w:p w14:paraId="297737B8" w14:textId="77777777" w:rsidR="00EE0C6B" w:rsidRPr="00EE0C6B" w:rsidRDefault="00EE0C6B" w:rsidP="001150CB">
            <w:pPr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pct"/>
          </w:tcPr>
          <w:p w14:paraId="5DA15D6B" w14:textId="77777777" w:rsidR="00EE0C6B" w:rsidRPr="00EE0C6B" w:rsidRDefault="00EE0C6B" w:rsidP="001150CB">
            <w:pPr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F6D72" w:rsidRPr="00EE0C6B" w14:paraId="27AF4CC6" w14:textId="77777777" w:rsidTr="00BF6D72">
        <w:tc>
          <w:tcPr>
            <w:tcW w:w="3756" w:type="pct"/>
          </w:tcPr>
          <w:p w14:paraId="45FD7D41" w14:textId="77777777" w:rsidR="00EE0C6B" w:rsidRPr="00EE0C6B" w:rsidRDefault="00EE0C6B" w:rsidP="00EE0C6B">
            <w:pPr>
              <w:numPr>
                <w:ilvl w:val="0"/>
                <w:numId w:val="29"/>
              </w:numPr>
              <w:tabs>
                <w:tab w:val="left" w:pos="-4902"/>
                <w:tab w:val="left" w:pos="-4845"/>
                <w:tab w:val="left" w:pos="-4731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School and community partnerships</w:t>
            </w:r>
          </w:p>
          <w:p w14:paraId="28BB0E3E" w14:textId="32CFCCA0" w:rsidR="00EE0C6B" w:rsidRPr="00EE0C6B" w:rsidRDefault="00EE0C6B" w:rsidP="00EE0C6B">
            <w:pPr>
              <w:numPr>
                <w:ilvl w:val="1"/>
                <w:numId w:val="29"/>
              </w:numPr>
              <w:tabs>
                <w:tab w:val="left" w:pos="-4902"/>
                <w:tab w:val="left" w:pos="-4845"/>
                <w:tab w:val="left" w:pos="-4731"/>
                <w:tab w:val="left" w:pos="342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Links with community agencies and organizations serving diverse learners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on the autism spectrum</w:t>
            </w: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across the lifespan</w:t>
            </w:r>
          </w:p>
          <w:p w14:paraId="2B1E1C05" w14:textId="77777777" w:rsidR="00EE0C6B" w:rsidRPr="00EE0C6B" w:rsidRDefault="00EE0C6B" w:rsidP="00EE0C6B">
            <w:pPr>
              <w:numPr>
                <w:ilvl w:val="1"/>
                <w:numId w:val="29"/>
              </w:numPr>
              <w:tabs>
                <w:tab w:val="left" w:pos="-4902"/>
                <w:tab w:val="left" w:pos="-4845"/>
                <w:tab w:val="left" w:pos="-4731"/>
                <w:tab w:val="left" w:pos="342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Interdisciplinary team collaboration within and across systems</w:t>
            </w:r>
          </w:p>
          <w:p w14:paraId="3D25A7D6" w14:textId="11739164" w:rsidR="00EE0C6B" w:rsidRPr="00EE0C6B" w:rsidRDefault="00EE0C6B" w:rsidP="00EE0C6B">
            <w:pPr>
              <w:numPr>
                <w:ilvl w:val="1"/>
                <w:numId w:val="29"/>
              </w:numPr>
              <w:tabs>
                <w:tab w:val="left" w:pos="-4902"/>
                <w:tab w:val="left" w:pos="-4845"/>
                <w:tab w:val="left" w:pos="-4731"/>
                <w:tab w:val="left" w:pos="342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Accesses community supports and services for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learners</w:t>
            </w: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on the autism spectrum and families</w:t>
            </w: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68A4832C" w14:textId="77777777" w:rsidR="00EE0C6B" w:rsidRPr="00EE0C6B" w:rsidRDefault="00EE0C6B" w:rsidP="00EE0C6B">
            <w:pPr>
              <w:numPr>
                <w:ilvl w:val="1"/>
                <w:numId w:val="29"/>
              </w:numPr>
              <w:tabs>
                <w:tab w:val="left" w:pos="-4902"/>
                <w:tab w:val="left" w:pos="-4845"/>
                <w:tab w:val="left" w:pos="-4731"/>
                <w:tab w:val="left" w:pos="342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Facilitates communication between school, home and community</w:t>
            </w:r>
          </w:p>
        </w:tc>
        <w:tc>
          <w:tcPr>
            <w:tcW w:w="541" w:type="pct"/>
          </w:tcPr>
          <w:p w14:paraId="0A49254D" w14:textId="77777777" w:rsidR="00EE0C6B" w:rsidRPr="00EE0C6B" w:rsidRDefault="00EE0C6B" w:rsidP="001150CB">
            <w:pPr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pct"/>
          </w:tcPr>
          <w:p w14:paraId="3328A72E" w14:textId="77777777" w:rsidR="00EE0C6B" w:rsidRPr="00EE0C6B" w:rsidRDefault="00EE0C6B" w:rsidP="001150CB">
            <w:pPr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pct"/>
          </w:tcPr>
          <w:p w14:paraId="39A26FFF" w14:textId="77777777" w:rsidR="00EE0C6B" w:rsidRPr="00EE0C6B" w:rsidRDefault="00EE0C6B" w:rsidP="001150CB">
            <w:pPr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F6D72" w:rsidRPr="00EE0C6B" w14:paraId="7FA98D03" w14:textId="77777777" w:rsidTr="00BF6D72">
        <w:tc>
          <w:tcPr>
            <w:tcW w:w="3756" w:type="pct"/>
          </w:tcPr>
          <w:p w14:paraId="0B21182E" w14:textId="77777777" w:rsidR="00EE0C6B" w:rsidRPr="00EE0C6B" w:rsidRDefault="00EE0C6B" w:rsidP="00EE0C6B">
            <w:pPr>
              <w:numPr>
                <w:ilvl w:val="0"/>
                <w:numId w:val="29"/>
              </w:numPr>
              <w:tabs>
                <w:tab w:val="clear" w:pos="360"/>
                <w:tab w:val="num" w:pos="399"/>
              </w:tabs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Individualized educational supports and services</w:t>
            </w:r>
          </w:p>
          <w:p w14:paraId="0FA964CC" w14:textId="77777777" w:rsidR="00EE0C6B" w:rsidRPr="00EE0C6B" w:rsidRDefault="00EE0C6B" w:rsidP="00EE0C6B">
            <w:pPr>
              <w:numPr>
                <w:ilvl w:val="1"/>
                <w:numId w:val="29"/>
              </w:numPr>
              <w:tabs>
                <w:tab w:val="num" w:pos="399"/>
              </w:tabs>
              <w:spacing w:after="0" w:line="240" w:lineRule="auto"/>
              <w:ind w:hanging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Develops IEP in collaboration with family and professionals across disciplines </w:t>
            </w:r>
          </w:p>
          <w:p w14:paraId="708C8F8B" w14:textId="77777777" w:rsidR="00EE0C6B" w:rsidRPr="00EE0C6B" w:rsidRDefault="00EE0C6B" w:rsidP="00EE0C6B">
            <w:pPr>
              <w:numPr>
                <w:ilvl w:val="1"/>
                <w:numId w:val="29"/>
              </w:numPr>
              <w:tabs>
                <w:tab w:val="num" w:pos="399"/>
              </w:tabs>
              <w:spacing w:after="0" w:line="240" w:lineRule="auto"/>
              <w:ind w:hanging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Responsive to social, cultural and linguistic backgrounds of each individual and family with consideration of family preferences</w:t>
            </w:r>
          </w:p>
          <w:p w14:paraId="5B6BB27E" w14:textId="77777777" w:rsidR="00EE0C6B" w:rsidRPr="00EE0C6B" w:rsidRDefault="00EE0C6B" w:rsidP="00EE0C6B">
            <w:pPr>
              <w:numPr>
                <w:ilvl w:val="1"/>
                <w:numId w:val="29"/>
              </w:numPr>
              <w:tabs>
                <w:tab w:val="num" w:pos="399"/>
              </w:tabs>
              <w:spacing w:after="0" w:line="240" w:lineRule="auto"/>
              <w:ind w:hanging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Degree of structure and level of intensity adapted to child’s strengths, challenges and emergent potentials</w:t>
            </w:r>
          </w:p>
          <w:p w14:paraId="4DAB744C" w14:textId="77777777" w:rsidR="00EE0C6B" w:rsidRPr="00EE0C6B" w:rsidRDefault="00EE0C6B" w:rsidP="00EE0C6B">
            <w:pPr>
              <w:numPr>
                <w:ilvl w:val="1"/>
                <w:numId w:val="29"/>
              </w:numPr>
              <w:tabs>
                <w:tab w:val="num" w:pos="399"/>
              </w:tabs>
              <w:spacing w:after="0" w:line="240" w:lineRule="auto"/>
              <w:ind w:hanging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Incorporates child’s preferences /special interests in program goals and methods</w:t>
            </w:r>
          </w:p>
          <w:p w14:paraId="4599705C" w14:textId="77777777" w:rsidR="00EE0C6B" w:rsidRPr="00EE0C6B" w:rsidRDefault="00EE0C6B" w:rsidP="00EE0C6B">
            <w:pPr>
              <w:numPr>
                <w:ilvl w:val="1"/>
                <w:numId w:val="29"/>
              </w:numPr>
              <w:tabs>
                <w:tab w:val="num" w:pos="399"/>
              </w:tabs>
              <w:spacing w:after="0" w:line="240" w:lineRule="auto"/>
              <w:ind w:hanging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Incorporates environmental and instructional adaptations and accommodations  </w:t>
            </w:r>
          </w:p>
        </w:tc>
        <w:tc>
          <w:tcPr>
            <w:tcW w:w="541" w:type="pct"/>
          </w:tcPr>
          <w:p w14:paraId="2A7850B7" w14:textId="77777777" w:rsidR="00EE0C6B" w:rsidRPr="00EE0C6B" w:rsidRDefault="00EE0C6B" w:rsidP="001150CB">
            <w:pPr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pct"/>
          </w:tcPr>
          <w:p w14:paraId="64BD4768" w14:textId="77777777" w:rsidR="00EE0C6B" w:rsidRPr="00EE0C6B" w:rsidRDefault="00EE0C6B" w:rsidP="001150CB">
            <w:pPr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pct"/>
          </w:tcPr>
          <w:p w14:paraId="4C695332" w14:textId="77777777" w:rsidR="00EE0C6B" w:rsidRPr="00EE0C6B" w:rsidRDefault="00EE0C6B" w:rsidP="001150CB">
            <w:pPr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2693A2DA" w14:textId="77777777" w:rsidR="00EE0C6B" w:rsidRPr="00EE0C6B" w:rsidRDefault="00EE0C6B" w:rsidP="00EE0C6B">
      <w:pPr>
        <w:spacing w:line="240" w:lineRule="auto"/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</w:pPr>
    </w:p>
    <w:p w14:paraId="08DB5B4B" w14:textId="77777777" w:rsidR="00EE0C6B" w:rsidRPr="00EE0C6B" w:rsidRDefault="00EE0C6B" w:rsidP="00EE0C6B">
      <w:pPr>
        <w:spacing w:line="240" w:lineRule="auto"/>
        <w:rPr>
          <w:rFonts w:ascii="Calibri" w:hAnsi="Calibri" w:cs="Calibri"/>
          <w:iCs/>
          <w:color w:val="000000" w:themeColor="text1"/>
          <w:sz w:val="20"/>
          <w:szCs w:val="20"/>
        </w:rPr>
      </w:pPr>
    </w:p>
    <w:p w14:paraId="6249F468" w14:textId="72288A5F" w:rsidR="00EE0C6B" w:rsidRDefault="00EE0C6B" w:rsidP="00EE0C6B">
      <w:pPr>
        <w:spacing w:line="240" w:lineRule="auto"/>
        <w:rPr>
          <w:rFonts w:ascii="Calibri" w:hAnsi="Calibri" w:cs="Calibri"/>
          <w:iCs/>
          <w:color w:val="000000" w:themeColor="text1"/>
          <w:sz w:val="20"/>
          <w:szCs w:val="20"/>
        </w:rPr>
      </w:pPr>
      <w:r w:rsidRPr="00EE0C6B">
        <w:rPr>
          <w:rFonts w:ascii="Calibri" w:hAnsi="Calibri" w:cs="Calibri"/>
          <w:iCs/>
          <w:color w:val="000000" w:themeColor="text1"/>
          <w:sz w:val="20"/>
          <w:szCs w:val="20"/>
        </w:rPr>
        <w:lastRenderedPageBreak/>
        <w:t xml:space="preserve">Rating Scale: </w:t>
      </w:r>
      <w:r w:rsidRPr="00EE0C6B">
        <w:rPr>
          <w:rFonts w:ascii="Calibri" w:hAnsi="Calibri" w:cs="Calibri"/>
          <w:b/>
          <w:iCs/>
          <w:color w:val="000000" w:themeColor="text1"/>
          <w:sz w:val="20"/>
          <w:szCs w:val="20"/>
        </w:rPr>
        <w:t>3</w:t>
      </w:r>
      <w:r w:rsidRPr="00EE0C6B">
        <w:rPr>
          <w:rFonts w:ascii="Calibri" w:hAnsi="Calibri" w:cs="Calibri"/>
          <w:iCs/>
          <w:color w:val="000000" w:themeColor="text1"/>
          <w:sz w:val="20"/>
          <w:szCs w:val="20"/>
        </w:rPr>
        <w:t xml:space="preserve"> = highly competent </w:t>
      </w:r>
      <w:r w:rsidRPr="00EE0C6B">
        <w:rPr>
          <w:rFonts w:ascii="Calibri" w:hAnsi="Calibri" w:cs="Calibri"/>
          <w:b/>
          <w:iCs/>
          <w:color w:val="000000" w:themeColor="text1"/>
          <w:sz w:val="20"/>
          <w:szCs w:val="20"/>
        </w:rPr>
        <w:t>2</w:t>
      </w:r>
      <w:r w:rsidRPr="00EE0C6B">
        <w:rPr>
          <w:rFonts w:ascii="Calibri" w:hAnsi="Calibri" w:cs="Calibri"/>
          <w:iCs/>
          <w:color w:val="000000" w:themeColor="text1"/>
          <w:sz w:val="20"/>
          <w:szCs w:val="20"/>
        </w:rPr>
        <w:t xml:space="preserve"> = moderately competent   </w:t>
      </w:r>
      <w:r w:rsidRPr="00EE0C6B">
        <w:rPr>
          <w:rFonts w:ascii="Calibri" w:hAnsi="Calibri" w:cs="Calibri"/>
          <w:b/>
          <w:iCs/>
          <w:color w:val="000000" w:themeColor="text1"/>
          <w:sz w:val="20"/>
          <w:szCs w:val="20"/>
        </w:rPr>
        <w:t xml:space="preserve">1 </w:t>
      </w:r>
      <w:r w:rsidRPr="00EE0C6B">
        <w:rPr>
          <w:rFonts w:ascii="Calibri" w:hAnsi="Calibri" w:cs="Calibri"/>
          <w:iCs/>
          <w:color w:val="000000" w:themeColor="text1"/>
          <w:sz w:val="20"/>
          <w:szCs w:val="20"/>
        </w:rPr>
        <w:t xml:space="preserve">= emerging competence   </w:t>
      </w:r>
      <w:r w:rsidRPr="00EE0C6B">
        <w:rPr>
          <w:rFonts w:ascii="Calibri" w:hAnsi="Calibri" w:cs="Calibri"/>
          <w:b/>
          <w:iCs/>
          <w:color w:val="000000" w:themeColor="text1"/>
          <w:sz w:val="20"/>
          <w:szCs w:val="20"/>
        </w:rPr>
        <w:t>0</w:t>
      </w:r>
      <w:r w:rsidRPr="00EE0C6B">
        <w:rPr>
          <w:rFonts w:ascii="Calibri" w:hAnsi="Calibri" w:cs="Calibri"/>
          <w:iCs/>
          <w:color w:val="000000" w:themeColor="text1"/>
          <w:sz w:val="20"/>
          <w:szCs w:val="20"/>
        </w:rPr>
        <w:t xml:space="preserve"> = not yet competent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0"/>
        <w:gridCol w:w="958"/>
        <w:gridCol w:w="746"/>
        <w:gridCol w:w="798"/>
      </w:tblGrid>
      <w:tr w:rsidR="00BF6D72" w:rsidRPr="00EE0C6B" w14:paraId="4D3F8463" w14:textId="77777777" w:rsidTr="00BF6D72"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1FDA" w14:textId="77777777" w:rsidR="00BF6D72" w:rsidRPr="00BF6D72" w:rsidRDefault="00BF6D72" w:rsidP="00BF6D72">
            <w:pPr>
              <w:tabs>
                <w:tab w:val="num" w:pos="399"/>
              </w:tabs>
              <w:spacing w:after="0" w:line="240" w:lineRule="auto"/>
              <w:ind w:left="360" w:hanging="36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AA96" w14:textId="77777777" w:rsidR="00BF6D72" w:rsidRPr="00BF6D72" w:rsidRDefault="00BF6D72" w:rsidP="00BF6D72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F6D72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Beginning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25C5" w14:textId="77777777" w:rsidR="00BF6D72" w:rsidRPr="00BF6D72" w:rsidRDefault="00BF6D72" w:rsidP="00BF6D72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F6D72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Middle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C8EA" w14:textId="77777777" w:rsidR="00BF6D72" w:rsidRPr="00BF6D72" w:rsidRDefault="00BF6D72" w:rsidP="00BF6D72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F6D72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End</w:t>
            </w:r>
          </w:p>
        </w:tc>
      </w:tr>
      <w:tr w:rsidR="00EE0C6B" w:rsidRPr="00EE0C6B" w14:paraId="1C891BF1" w14:textId="77777777" w:rsidTr="00BF6D72">
        <w:tc>
          <w:tcPr>
            <w:tcW w:w="3585" w:type="pct"/>
          </w:tcPr>
          <w:p w14:paraId="4A322168" w14:textId="77777777" w:rsidR="00EE0C6B" w:rsidRPr="00EE0C6B" w:rsidRDefault="00EE0C6B" w:rsidP="00EE0C6B">
            <w:pPr>
              <w:numPr>
                <w:ilvl w:val="0"/>
                <w:numId w:val="29"/>
              </w:numPr>
              <w:tabs>
                <w:tab w:val="clear" w:pos="360"/>
                <w:tab w:val="num" w:pos="399"/>
              </w:tabs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Assessment frameworks and procedures</w:t>
            </w:r>
          </w:p>
          <w:p w14:paraId="003874A4" w14:textId="77777777" w:rsidR="00EE0C6B" w:rsidRPr="00EE0C6B" w:rsidRDefault="00EE0C6B" w:rsidP="00EE0C6B">
            <w:pPr>
              <w:numPr>
                <w:ilvl w:val="1"/>
                <w:numId w:val="29"/>
              </w:numPr>
              <w:tabs>
                <w:tab w:val="num" w:pos="399"/>
              </w:tabs>
              <w:spacing w:after="0" w:line="240" w:lineRule="auto"/>
              <w:ind w:hanging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Typical and atypical learning and development across the lifespan</w:t>
            </w:r>
          </w:p>
          <w:p w14:paraId="10DF7399" w14:textId="77777777" w:rsidR="00EE0C6B" w:rsidRPr="00EE0C6B" w:rsidRDefault="00EE0C6B" w:rsidP="00EE0C6B">
            <w:pPr>
              <w:numPr>
                <w:ilvl w:val="1"/>
                <w:numId w:val="29"/>
              </w:numPr>
              <w:tabs>
                <w:tab w:val="num" w:pos="399"/>
              </w:tabs>
              <w:spacing w:after="0" w:line="240" w:lineRule="auto"/>
              <w:ind w:hanging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Formal and informal assessment tools and techniques</w:t>
            </w:r>
          </w:p>
          <w:p w14:paraId="67627B04" w14:textId="77777777" w:rsidR="00EE0C6B" w:rsidRPr="00EE0C6B" w:rsidRDefault="00EE0C6B" w:rsidP="00EE0C6B">
            <w:pPr>
              <w:numPr>
                <w:ilvl w:val="1"/>
                <w:numId w:val="29"/>
              </w:numPr>
              <w:tabs>
                <w:tab w:val="num" w:pos="399"/>
              </w:tabs>
              <w:spacing w:after="0" w:line="240" w:lineRule="auto"/>
              <w:ind w:hanging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Systematically collects and analyzes multiple sources of data across settings to assess and monitor individual learning, development and overall progress</w:t>
            </w:r>
          </w:p>
          <w:p w14:paraId="481626C5" w14:textId="77777777" w:rsidR="00EE0C6B" w:rsidRPr="00EE0C6B" w:rsidRDefault="00EE0C6B" w:rsidP="00EE0C6B">
            <w:pPr>
              <w:numPr>
                <w:ilvl w:val="1"/>
                <w:numId w:val="29"/>
              </w:numPr>
              <w:tabs>
                <w:tab w:val="num" w:pos="399"/>
              </w:tabs>
              <w:spacing w:after="0" w:line="240" w:lineRule="auto"/>
              <w:ind w:hanging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Constructs profiles of strengths, challenges and emergent potential across core domains of learning and development (Cognition/ learning style; communication/language; social (adults and peers); play and imagination (representational); Behavior patterns (activities, interests); Sensory processing; Adaptive functioning (daily life skills/self-care)</w:t>
            </w:r>
          </w:p>
          <w:p w14:paraId="14DA2936" w14:textId="77777777" w:rsidR="00EE0C6B" w:rsidRPr="00EE0C6B" w:rsidRDefault="00EE0C6B" w:rsidP="00EE0C6B">
            <w:pPr>
              <w:numPr>
                <w:ilvl w:val="1"/>
                <w:numId w:val="29"/>
              </w:numPr>
              <w:tabs>
                <w:tab w:val="num" w:pos="399"/>
              </w:tabs>
              <w:spacing w:after="0" w:line="240" w:lineRule="auto"/>
              <w:ind w:hanging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Uses results to set realistic and meaningful goals and plan instruction/ intervention</w:t>
            </w:r>
          </w:p>
        </w:tc>
        <w:tc>
          <w:tcPr>
            <w:tcW w:w="542" w:type="pct"/>
          </w:tcPr>
          <w:p w14:paraId="106BC7B3" w14:textId="6716F5BC" w:rsidR="00EE0C6B" w:rsidRPr="00EE0C6B" w:rsidRDefault="00BF6D72" w:rsidP="001150CB">
            <w:pPr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</w:tcPr>
          <w:p w14:paraId="11D8D1A8" w14:textId="44959865" w:rsidR="00EE0C6B" w:rsidRPr="00EE0C6B" w:rsidRDefault="00BF6D72" w:rsidP="001150CB">
            <w:pPr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</w:tcPr>
          <w:p w14:paraId="45EFD347" w14:textId="505A0051" w:rsidR="00EE0C6B" w:rsidRPr="00EE0C6B" w:rsidRDefault="00BF6D72" w:rsidP="001150CB">
            <w:pPr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E0C6B" w:rsidRPr="00EE0C6B" w14:paraId="2AF92BF7" w14:textId="77777777" w:rsidTr="00BF6D72">
        <w:tc>
          <w:tcPr>
            <w:tcW w:w="3585" w:type="pct"/>
          </w:tcPr>
          <w:p w14:paraId="5301BB86" w14:textId="77777777" w:rsidR="00EE0C6B" w:rsidRPr="00EE0C6B" w:rsidRDefault="00EE0C6B" w:rsidP="00EE0C6B">
            <w:pPr>
              <w:numPr>
                <w:ilvl w:val="0"/>
                <w:numId w:val="29"/>
              </w:numPr>
              <w:tabs>
                <w:tab w:val="clear" w:pos="360"/>
                <w:tab w:val="num" w:pos="399"/>
              </w:tabs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Curriculum and instruction</w:t>
            </w:r>
          </w:p>
          <w:p w14:paraId="0483EEC2" w14:textId="77777777" w:rsidR="00EE0C6B" w:rsidRPr="00EE0C6B" w:rsidRDefault="00EE0C6B" w:rsidP="00EE0C6B">
            <w:pPr>
              <w:numPr>
                <w:ilvl w:val="1"/>
                <w:numId w:val="29"/>
              </w:numPr>
              <w:spacing w:after="0" w:line="240" w:lineRule="auto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Balanced functional, developmental and academic curriculum </w:t>
            </w:r>
            <w:r w:rsidRPr="00EE0C6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aligned with California Learning Standards </w:t>
            </w: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</w:t>
            </w:r>
            <w:hyperlink r:id="rId12" w:history="1">
              <w:r w:rsidRPr="00EE0C6B">
                <w:rPr>
                  <w:rStyle w:val="Hyperlink"/>
                  <w:rFonts w:ascii="Calibri" w:hAnsi="Calibri" w:cs="Calibri"/>
                  <w:color w:val="000000" w:themeColor="text1"/>
                  <w:sz w:val="20"/>
                  <w:szCs w:val="20"/>
                </w:rPr>
                <w:t>http://www.cde.ca.gov/standards</w:t>
              </w:r>
            </w:hyperlink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  <w:r w:rsidRPr="00EE0C6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.and addresses Cross-cultural Language and Academic Development (CLAD)</w:t>
            </w: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for English language learners </w:t>
            </w:r>
          </w:p>
          <w:p w14:paraId="546B2B3E" w14:textId="77777777" w:rsidR="00EE0C6B" w:rsidRPr="00EE0C6B" w:rsidRDefault="00EE0C6B" w:rsidP="00EE0C6B">
            <w:pPr>
              <w:numPr>
                <w:ilvl w:val="1"/>
                <w:numId w:val="29"/>
              </w:numPr>
              <w:spacing w:after="0" w:line="240" w:lineRule="auto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Well planned, systematic and differentiated instruction adapted</w:t>
            </w:r>
            <w:r w:rsidRPr="00EE0C6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to range of ages, abilities, interests and learning styles </w:t>
            </w:r>
          </w:p>
          <w:p w14:paraId="2E66CE27" w14:textId="77777777" w:rsidR="00EE0C6B" w:rsidRPr="00EE0C6B" w:rsidRDefault="00EE0C6B" w:rsidP="00EE0C6B">
            <w:pPr>
              <w:numPr>
                <w:ilvl w:val="1"/>
                <w:numId w:val="29"/>
              </w:numPr>
              <w:spacing w:after="0" w:line="240" w:lineRule="auto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Instructional activities provide multiple opportunities to practice skills across natural learning contexts within home, school and community</w:t>
            </w:r>
          </w:p>
          <w:p w14:paraId="38FF85D6" w14:textId="77777777" w:rsidR="00EE0C6B" w:rsidRPr="00EE0C6B" w:rsidRDefault="00EE0C6B" w:rsidP="00EE0C6B">
            <w:pPr>
              <w:numPr>
                <w:ilvl w:val="1"/>
                <w:numId w:val="29"/>
              </w:numPr>
              <w:spacing w:after="0" w:line="240" w:lineRule="auto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Varied instructional formats </w:t>
            </w:r>
            <w:r w:rsidRPr="00EE0C6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through multiple modes of one-to-one, small group, large-group, adult-directed, child-centered, and peer mediated instruction geared to individual</w:t>
            </w:r>
          </w:p>
          <w:p w14:paraId="3DBE2A26" w14:textId="77777777" w:rsidR="00EE0C6B" w:rsidRPr="00EE0C6B" w:rsidRDefault="00EE0C6B" w:rsidP="00EE0C6B">
            <w:pPr>
              <w:numPr>
                <w:ilvl w:val="1"/>
                <w:numId w:val="29"/>
              </w:numPr>
              <w:spacing w:after="0" w:line="240" w:lineRule="auto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Supports maintenance of learned skills over time and generalization of skills to natural settings</w:t>
            </w:r>
          </w:p>
          <w:p w14:paraId="4363D19D" w14:textId="77777777" w:rsidR="00EE0C6B" w:rsidRPr="00EE0C6B" w:rsidRDefault="00EE0C6B" w:rsidP="00EE0C6B">
            <w:pPr>
              <w:numPr>
                <w:ilvl w:val="1"/>
                <w:numId w:val="29"/>
              </w:numPr>
              <w:spacing w:after="0" w:line="240" w:lineRule="auto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Trains and manages para-educators/program staff</w:t>
            </w:r>
          </w:p>
        </w:tc>
        <w:tc>
          <w:tcPr>
            <w:tcW w:w="542" w:type="pct"/>
          </w:tcPr>
          <w:p w14:paraId="676D5DC2" w14:textId="77777777" w:rsidR="00EE0C6B" w:rsidRPr="00EE0C6B" w:rsidRDefault="00EE0C6B" w:rsidP="001150C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</w:tcPr>
          <w:p w14:paraId="69B2C0A1" w14:textId="77777777" w:rsidR="00EE0C6B" w:rsidRPr="00EE0C6B" w:rsidRDefault="00EE0C6B" w:rsidP="001150C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</w:tcPr>
          <w:p w14:paraId="0994C293" w14:textId="77777777" w:rsidR="00EE0C6B" w:rsidRPr="00EE0C6B" w:rsidRDefault="00EE0C6B" w:rsidP="001150C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E0C6B" w:rsidRPr="00EE0C6B" w14:paraId="60918E43" w14:textId="77777777" w:rsidTr="00BF6D72">
        <w:tc>
          <w:tcPr>
            <w:tcW w:w="3585" w:type="pct"/>
          </w:tcPr>
          <w:p w14:paraId="34185CCD" w14:textId="77777777" w:rsidR="00EE0C6B" w:rsidRPr="00EE0C6B" w:rsidRDefault="00EE0C6B" w:rsidP="00EE0C6B">
            <w:pPr>
              <w:numPr>
                <w:ilvl w:val="0"/>
                <w:numId w:val="29"/>
              </w:numPr>
              <w:tabs>
                <w:tab w:val="clear" w:pos="360"/>
                <w:tab w:val="num" w:pos="399"/>
              </w:tabs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Structuring the learning environment</w:t>
            </w:r>
          </w:p>
          <w:p w14:paraId="25ACF58C" w14:textId="77777777" w:rsidR="00EE0C6B" w:rsidRPr="00EE0C6B" w:rsidRDefault="00EE0C6B" w:rsidP="00EE0C6B">
            <w:pPr>
              <w:numPr>
                <w:ilvl w:val="1"/>
                <w:numId w:val="29"/>
              </w:numPr>
              <w:tabs>
                <w:tab w:val="num" w:pos="399"/>
              </w:tabs>
              <w:spacing w:after="0" w:line="240" w:lineRule="auto"/>
              <w:ind w:hanging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Clearly organized and comprehensible learning environments  </w:t>
            </w:r>
          </w:p>
          <w:p w14:paraId="7754C3DD" w14:textId="77777777" w:rsidR="00EE0C6B" w:rsidRPr="00EE0C6B" w:rsidRDefault="00EE0C6B" w:rsidP="00EE0C6B">
            <w:pPr>
              <w:numPr>
                <w:ilvl w:val="1"/>
                <w:numId w:val="29"/>
              </w:numPr>
              <w:tabs>
                <w:tab w:val="num" w:pos="399"/>
              </w:tabs>
              <w:spacing w:after="0" w:line="240" w:lineRule="auto"/>
              <w:ind w:hanging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Use of visual cues and supports to maximize engagement and learning</w:t>
            </w:r>
          </w:p>
          <w:p w14:paraId="09EAE47B" w14:textId="77777777" w:rsidR="00EE0C6B" w:rsidRPr="00EE0C6B" w:rsidRDefault="00EE0C6B" w:rsidP="00EE0C6B">
            <w:pPr>
              <w:numPr>
                <w:ilvl w:val="1"/>
                <w:numId w:val="29"/>
              </w:numPr>
              <w:tabs>
                <w:tab w:val="num" w:pos="399"/>
              </w:tabs>
              <w:spacing w:after="0" w:line="240" w:lineRule="auto"/>
              <w:ind w:hanging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Incorporates predictable routines, rituals, schedules for activities and events</w:t>
            </w:r>
          </w:p>
          <w:p w14:paraId="134C0B71" w14:textId="77777777" w:rsidR="00EE0C6B" w:rsidRPr="00EE0C6B" w:rsidRDefault="00EE0C6B" w:rsidP="00EE0C6B">
            <w:pPr>
              <w:numPr>
                <w:ilvl w:val="1"/>
                <w:numId w:val="29"/>
              </w:numPr>
              <w:tabs>
                <w:tab w:val="num" w:pos="399"/>
              </w:tabs>
              <w:spacing w:after="0" w:line="240" w:lineRule="auto"/>
              <w:ind w:hanging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Structures materials and work tasks</w:t>
            </w:r>
          </w:p>
          <w:p w14:paraId="675FAFD6" w14:textId="77777777" w:rsidR="00EE0C6B" w:rsidRPr="00EE0C6B" w:rsidRDefault="00EE0C6B" w:rsidP="00EE0C6B">
            <w:pPr>
              <w:numPr>
                <w:ilvl w:val="1"/>
                <w:numId w:val="29"/>
              </w:numPr>
              <w:tabs>
                <w:tab w:val="num" w:pos="399"/>
              </w:tabs>
              <w:spacing w:after="0" w:line="240" w:lineRule="auto"/>
              <w:ind w:hanging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Defines physical space with clear boundaries</w:t>
            </w:r>
          </w:p>
          <w:p w14:paraId="5CE99103" w14:textId="77777777" w:rsidR="00EE0C6B" w:rsidRPr="00EE0C6B" w:rsidRDefault="00EE0C6B" w:rsidP="00EE0C6B">
            <w:pPr>
              <w:numPr>
                <w:ilvl w:val="1"/>
                <w:numId w:val="29"/>
              </w:numPr>
              <w:tabs>
                <w:tab w:val="num" w:pos="399"/>
              </w:tabs>
              <w:spacing w:after="0" w:line="240" w:lineRule="auto"/>
              <w:ind w:hanging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Facilitates transitions, flexibility and change </w:t>
            </w:r>
          </w:p>
        </w:tc>
        <w:tc>
          <w:tcPr>
            <w:tcW w:w="542" w:type="pct"/>
          </w:tcPr>
          <w:p w14:paraId="076D0BFE" w14:textId="77777777" w:rsidR="00EE0C6B" w:rsidRPr="00EE0C6B" w:rsidRDefault="00EE0C6B" w:rsidP="001150CB">
            <w:pPr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pct"/>
          </w:tcPr>
          <w:p w14:paraId="7D71B1F6" w14:textId="77777777" w:rsidR="00EE0C6B" w:rsidRPr="00EE0C6B" w:rsidRDefault="00EE0C6B" w:rsidP="001150CB">
            <w:pPr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</w:tcPr>
          <w:p w14:paraId="0DC52E65" w14:textId="77777777" w:rsidR="00EE0C6B" w:rsidRPr="00EE0C6B" w:rsidRDefault="00EE0C6B" w:rsidP="001150CB">
            <w:pPr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4B4107F9" w14:textId="77777777" w:rsidR="00EE0C6B" w:rsidRPr="00EE0C6B" w:rsidRDefault="00EE0C6B" w:rsidP="00EE0C6B">
      <w:pPr>
        <w:spacing w:line="240" w:lineRule="auto"/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18DBC136" w14:textId="77777777" w:rsidR="00EE0C6B" w:rsidRPr="00EE0C6B" w:rsidRDefault="00EE0C6B" w:rsidP="00EE0C6B">
      <w:pPr>
        <w:spacing w:line="240" w:lineRule="auto"/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419001B8" w14:textId="77777777" w:rsidR="00EE0C6B" w:rsidRPr="00EE0C6B" w:rsidRDefault="00EE0C6B" w:rsidP="00EE0C6B">
      <w:pPr>
        <w:spacing w:line="240" w:lineRule="auto"/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4C9EC629" w14:textId="77777777" w:rsidR="00EE0C6B" w:rsidRPr="00EE0C6B" w:rsidRDefault="00EE0C6B" w:rsidP="00EE0C6B">
      <w:pPr>
        <w:spacing w:line="240" w:lineRule="auto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0224F654" w14:textId="77777777" w:rsidR="00EE0C6B" w:rsidRPr="00EE0C6B" w:rsidRDefault="00EE0C6B" w:rsidP="00EE0C6B">
      <w:pPr>
        <w:spacing w:line="240" w:lineRule="auto"/>
        <w:rPr>
          <w:rFonts w:ascii="Calibri" w:hAnsi="Calibri" w:cs="Calibri"/>
          <w:iCs/>
          <w:color w:val="000000" w:themeColor="text1"/>
          <w:sz w:val="20"/>
          <w:szCs w:val="20"/>
        </w:rPr>
      </w:pPr>
    </w:p>
    <w:p w14:paraId="5F0AA96A" w14:textId="7CF602A7" w:rsidR="00EE0C6B" w:rsidRDefault="00EE0C6B" w:rsidP="00EE0C6B">
      <w:pPr>
        <w:spacing w:line="240" w:lineRule="auto"/>
        <w:rPr>
          <w:rFonts w:ascii="Calibri" w:hAnsi="Calibri" w:cs="Calibri"/>
          <w:iCs/>
          <w:color w:val="000000" w:themeColor="text1"/>
          <w:sz w:val="20"/>
          <w:szCs w:val="20"/>
        </w:rPr>
      </w:pPr>
      <w:r w:rsidRPr="00EE0C6B">
        <w:rPr>
          <w:rFonts w:ascii="Calibri" w:hAnsi="Calibri" w:cs="Calibri"/>
          <w:iCs/>
          <w:color w:val="000000" w:themeColor="text1"/>
          <w:sz w:val="20"/>
          <w:szCs w:val="20"/>
        </w:rPr>
        <w:t xml:space="preserve">Rating Scale: </w:t>
      </w:r>
      <w:r w:rsidRPr="00EE0C6B">
        <w:rPr>
          <w:rFonts w:ascii="Calibri" w:hAnsi="Calibri" w:cs="Calibri"/>
          <w:b/>
          <w:iCs/>
          <w:color w:val="000000" w:themeColor="text1"/>
          <w:sz w:val="20"/>
          <w:szCs w:val="20"/>
        </w:rPr>
        <w:t>3</w:t>
      </w:r>
      <w:r w:rsidRPr="00EE0C6B">
        <w:rPr>
          <w:rFonts w:ascii="Calibri" w:hAnsi="Calibri" w:cs="Calibri"/>
          <w:iCs/>
          <w:color w:val="000000" w:themeColor="text1"/>
          <w:sz w:val="20"/>
          <w:szCs w:val="20"/>
        </w:rPr>
        <w:t xml:space="preserve"> = highly competent </w:t>
      </w:r>
      <w:r w:rsidRPr="00EE0C6B">
        <w:rPr>
          <w:rFonts w:ascii="Calibri" w:hAnsi="Calibri" w:cs="Calibri"/>
          <w:b/>
          <w:iCs/>
          <w:color w:val="000000" w:themeColor="text1"/>
          <w:sz w:val="20"/>
          <w:szCs w:val="20"/>
        </w:rPr>
        <w:t>2</w:t>
      </w:r>
      <w:r w:rsidRPr="00EE0C6B">
        <w:rPr>
          <w:rFonts w:ascii="Calibri" w:hAnsi="Calibri" w:cs="Calibri"/>
          <w:iCs/>
          <w:color w:val="000000" w:themeColor="text1"/>
          <w:sz w:val="20"/>
          <w:szCs w:val="20"/>
        </w:rPr>
        <w:t xml:space="preserve"> = moderately competent   </w:t>
      </w:r>
      <w:r w:rsidRPr="00EE0C6B">
        <w:rPr>
          <w:rFonts w:ascii="Calibri" w:hAnsi="Calibri" w:cs="Calibri"/>
          <w:b/>
          <w:iCs/>
          <w:color w:val="000000" w:themeColor="text1"/>
          <w:sz w:val="20"/>
          <w:szCs w:val="20"/>
        </w:rPr>
        <w:t xml:space="preserve">1 </w:t>
      </w:r>
      <w:r w:rsidRPr="00EE0C6B">
        <w:rPr>
          <w:rFonts w:ascii="Calibri" w:hAnsi="Calibri" w:cs="Calibri"/>
          <w:iCs/>
          <w:color w:val="000000" w:themeColor="text1"/>
          <w:sz w:val="20"/>
          <w:szCs w:val="20"/>
        </w:rPr>
        <w:t xml:space="preserve">= emerging competence   </w:t>
      </w:r>
      <w:r w:rsidRPr="00EE0C6B">
        <w:rPr>
          <w:rFonts w:ascii="Calibri" w:hAnsi="Calibri" w:cs="Calibri"/>
          <w:b/>
          <w:iCs/>
          <w:color w:val="000000" w:themeColor="text1"/>
          <w:sz w:val="20"/>
          <w:szCs w:val="20"/>
        </w:rPr>
        <w:t>0</w:t>
      </w:r>
      <w:r w:rsidRPr="00EE0C6B">
        <w:rPr>
          <w:rFonts w:ascii="Calibri" w:hAnsi="Calibri" w:cs="Calibri"/>
          <w:iCs/>
          <w:color w:val="000000" w:themeColor="text1"/>
          <w:sz w:val="20"/>
          <w:szCs w:val="20"/>
        </w:rPr>
        <w:t xml:space="preserve"> = not yet competent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0"/>
        <w:gridCol w:w="958"/>
        <w:gridCol w:w="13"/>
        <w:gridCol w:w="737"/>
        <w:gridCol w:w="794"/>
      </w:tblGrid>
      <w:tr w:rsidR="00BF6D72" w:rsidRPr="00EE0C6B" w14:paraId="22851FEA" w14:textId="77777777" w:rsidTr="00BF6D72"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974E" w14:textId="77777777" w:rsidR="00BF6D72" w:rsidRPr="00BF6D72" w:rsidRDefault="00BF6D72" w:rsidP="001150CB">
            <w:pPr>
              <w:tabs>
                <w:tab w:val="num" w:pos="399"/>
              </w:tabs>
              <w:spacing w:after="0" w:line="240" w:lineRule="auto"/>
              <w:ind w:left="360" w:hanging="36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6614" w14:textId="77777777" w:rsidR="00BF6D72" w:rsidRPr="00BF6D72" w:rsidRDefault="00BF6D72" w:rsidP="001150CB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F6D72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Beginning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BF78" w14:textId="77777777" w:rsidR="00BF6D72" w:rsidRPr="00BF6D72" w:rsidRDefault="00BF6D72" w:rsidP="001150CB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F6D72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Middle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2CE5" w14:textId="77777777" w:rsidR="00BF6D72" w:rsidRPr="00BF6D72" w:rsidRDefault="00BF6D72" w:rsidP="001150CB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F6D72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End</w:t>
            </w:r>
          </w:p>
        </w:tc>
      </w:tr>
      <w:tr w:rsidR="00BF6D72" w:rsidRPr="00EE0C6B" w14:paraId="41FEDD9C" w14:textId="77777777" w:rsidTr="00BF6D72">
        <w:tc>
          <w:tcPr>
            <w:tcW w:w="3585" w:type="pct"/>
          </w:tcPr>
          <w:p w14:paraId="68261BDD" w14:textId="77777777" w:rsidR="00BF6D72" w:rsidRPr="00EE0C6B" w:rsidRDefault="00BF6D72" w:rsidP="001150CB">
            <w:pPr>
              <w:numPr>
                <w:ilvl w:val="0"/>
                <w:numId w:val="29"/>
              </w:numPr>
              <w:tabs>
                <w:tab w:val="clear" w:pos="360"/>
                <w:tab w:val="num" w:pos="399"/>
              </w:tabs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Addressing challenging behaviors</w:t>
            </w:r>
          </w:p>
          <w:p w14:paraId="1907CE8B" w14:textId="77777777" w:rsidR="00BF6D72" w:rsidRPr="00EE0C6B" w:rsidRDefault="00BF6D72" w:rsidP="001150CB">
            <w:pPr>
              <w:numPr>
                <w:ilvl w:val="1"/>
                <w:numId w:val="29"/>
              </w:numPr>
              <w:tabs>
                <w:tab w:val="num" w:pos="399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Functional approach through Positive Behavior Supports</w:t>
            </w:r>
          </w:p>
          <w:p w14:paraId="5B8B7B7E" w14:textId="77777777" w:rsidR="00BF6D72" w:rsidRPr="00EE0C6B" w:rsidRDefault="00BF6D72" w:rsidP="001150CB">
            <w:pPr>
              <w:numPr>
                <w:ilvl w:val="1"/>
                <w:numId w:val="29"/>
              </w:numPr>
              <w:tabs>
                <w:tab w:val="num" w:pos="399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Responsive to unique modes of communication, social-emotional regulation and sensory processing</w:t>
            </w:r>
          </w:p>
          <w:p w14:paraId="110D782D" w14:textId="77777777" w:rsidR="00BF6D72" w:rsidRPr="00EE0C6B" w:rsidRDefault="00BF6D72" w:rsidP="001150CB">
            <w:pPr>
              <w:numPr>
                <w:ilvl w:val="1"/>
                <w:numId w:val="29"/>
              </w:numPr>
              <w:tabs>
                <w:tab w:val="num" w:pos="399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Data-based functional behavioral assessments (FBA) and behavior supports plans consistent with state and federal guidelines</w:t>
            </w:r>
          </w:p>
          <w:p w14:paraId="4CC8234C" w14:textId="77777777" w:rsidR="00BF6D72" w:rsidRPr="00EE0C6B" w:rsidRDefault="00BF6D72" w:rsidP="001150CB">
            <w:pPr>
              <w:numPr>
                <w:ilvl w:val="1"/>
                <w:numId w:val="29"/>
              </w:numPr>
              <w:tabs>
                <w:tab w:val="num" w:pos="399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Application of a variety of empirically validated behavioral intervention strategies (ABA, cognitive behavior)</w:t>
            </w:r>
          </w:p>
          <w:p w14:paraId="34FF095B" w14:textId="77777777" w:rsidR="00BF6D72" w:rsidRPr="00EE0C6B" w:rsidRDefault="00BF6D72" w:rsidP="001150CB">
            <w:pPr>
              <w:numPr>
                <w:ilvl w:val="1"/>
                <w:numId w:val="29"/>
              </w:numPr>
              <w:tabs>
                <w:tab w:val="num" w:pos="399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Crisis intervention techniques</w:t>
            </w:r>
          </w:p>
        </w:tc>
        <w:tc>
          <w:tcPr>
            <w:tcW w:w="542" w:type="pct"/>
          </w:tcPr>
          <w:p w14:paraId="3716AD5E" w14:textId="77777777" w:rsidR="00BF6D72" w:rsidRPr="00EE0C6B" w:rsidRDefault="00BF6D72" w:rsidP="001150CB">
            <w:pPr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14:paraId="7C05C9A9" w14:textId="77777777" w:rsidR="00BF6D72" w:rsidRPr="00EE0C6B" w:rsidRDefault="00BF6D72" w:rsidP="001150CB">
            <w:pPr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49" w:type="pct"/>
          </w:tcPr>
          <w:p w14:paraId="0516426C" w14:textId="77777777" w:rsidR="00BF6D72" w:rsidRPr="00EE0C6B" w:rsidRDefault="00BF6D72" w:rsidP="001150CB">
            <w:pPr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F6D72" w:rsidRPr="00EE0C6B" w14:paraId="32BA04D4" w14:textId="77777777" w:rsidTr="00BF6D72">
        <w:tc>
          <w:tcPr>
            <w:tcW w:w="3585" w:type="pct"/>
          </w:tcPr>
          <w:p w14:paraId="3EE31460" w14:textId="77777777" w:rsidR="00BF6D72" w:rsidRPr="00EE0C6B" w:rsidRDefault="00BF6D72" w:rsidP="001150CB">
            <w:pPr>
              <w:numPr>
                <w:ilvl w:val="0"/>
                <w:numId w:val="29"/>
              </w:numPr>
              <w:tabs>
                <w:tab w:val="clear" w:pos="360"/>
                <w:tab w:val="num" w:pos="3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Supporting communicative competence</w:t>
            </w:r>
          </w:p>
          <w:p w14:paraId="289177E0" w14:textId="77777777" w:rsidR="00BF6D72" w:rsidRPr="00EE0C6B" w:rsidRDefault="00BF6D72" w:rsidP="001150CB">
            <w:pPr>
              <w:numPr>
                <w:ilvl w:val="1"/>
                <w:numId w:val="29"/>
              </w:numPr>
              <w:tabs>
                <w:tab w:val="num" w:pos="399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Patterns of speech, language and communication in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autism</w:t>
            </w:r>
          </w:p>
          <w:p w14:paraId="6FB08D69" w14:textId="77777777" w:rsidR="00BF6D72" w:rsidRPr="00EE0C6B" w:rsidRDefault="00BF6D72" w:rsidP="001150CB">
            <w:pPr>
              <w:numPr>
                <w:ilvl w:val="1"/>
                <w:numId w:val="29"/>
              </w:numPr>
              <w:tabs>
                <w:tab w:val="num" w:pos="399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Continuum of approaches to assessment and intervention (discrete trial, traditional behavioral, developmental, social-pragmatic)</w:t>
            </w:r>
          </w:p>
          <w:p w14:paraId="632DE875" w14:textId="77777777" w:rsidR="00BF6D72" w:rsidRPr="00EE0C6B" w:rsidRDefault="00BF6D72" w:rsidP="001150CB">
            <w:pPr>
              <w:numPr>
                <w:ilvl w:val="1"/>
                <w:numId w:val="29"/>
              </w:numPr>
              <w:tabs>
                <w:tab w:val="num" w:pos="399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Supports intentional and spontaneous communication across partners, activities and settings</w:t>
            </w:r>
          </w:p>
          <w:p w14:paraId="733BBF52" w14:textId="77777777" w:rsidR="00BF6D72" w:rsidRPr="00EE0C6B" w:rsidRDefault="00BF6D72" w:rsidP="001150CB">
            <w:pPr>
              <w:numPr>
                <w:ilvl w:val="1"/>
                <w:numId w:val="29"/>
              </w:numPr>
              <w:tabs>
                <w:tab w:val="num" w:pos="399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Functional expressive and receptive communication for mute, pre-verbal and verbal children</w:t>
            </w:r>
          </w:p>
          <w:p w14:paraId="56279F6E" w14:textId="77777777" w:rsidR="00BF6D72" w:rsidRPr="00EE0C6B" w:rsidRDefault="00BF6D72" w:rsidP="001150CB">
            <w:pPr>
              <w:numPr>
                <w:ilvl w:val="1"/>
                <w:numId w:val="29"/>
              </w:numPr>
              <w:tabs>
                <w:tab w:val="num" w:pos="399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Augmentative and alternative communication (AAC) strategies</w:t>
            </w:r>
          </w:p>
          <w:p w14:paraId="491C1581" w14:textId="77777777" w:rsidR="00BF6D72" w:rsidRPr="00EE0C6B" w:rsidRDefault="00BF6D72" w:rsidP="001150CB">
            <w:pPr>
              <w:numPr>
                <w:ilvl w:val="1"/>
                <w:numId w:val="29"/>
              </w:numPr>
              <w:tabs>
                <w:tab w:val="num" w:pos="399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Integrating verbal and nonverbal forms of communication</w:t>
            </w:r>
          </w:p>
        </w:tc>
        <w:tc>
          <w:tcPr>
            <w:tcW w:w="549" w:type="pct"/>
            <w:gridSpan w:val="2"/>
          </w:tcPr>
          <w:p w14:paraId="5571C7D5" w14:textId="2148A05C" w:rsidR="00BF6D72" w:rsidRPr="00EE0C6B" w:rsidRDefault="00BF6D72" w:rsidP="001150CB">
            <w:pPr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</w:tcPr>
          <w:p w14:paraId="090C2BA5" w14:textId="7A3C9F5E" w:rsidR="00BF6D72" w:rsidRPr="00EE0C6B" w:rsidRDefault="00BF6D72" w:rsidP="001150CB">
            <w:pPr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49" w:type="pct"/>
          </w:tcPr>
          <w:p w14:paraId="32F316AF" w14:textId="53EF31ED" w:rsidR="00BF6D72" w:rsidRPr="00EE0C6B" w:rsidRDefault="00BF6D72" w:rsidP="001150CB">
            <w:pPr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F6D72" w:rsidRPr="00EE0C6B" w14:paraId="68E0385E" w14:textId="77777777" w:rsidTr="00BF6D72">
        <w:tc>
          <w:tcPr>
            <w:tcW w:w="3585" w:type="pct"/>
          </w:tcPr>
          <w:p w14:paraId="2557F6E9" w14:textId="77777777" w:rsidR="00BF6D72" w:rsidRPr="00EE0C6B" w:rsidRDefault="00BF6D72" w:rsidP="001150CB">
            <w:pPr>
              <w:numPr>
                <w:ilvl w:val="0"/>
                <w:numId w:val="29"/>
              </w:numPr>
              <w:tabs>
                <w:tab w:val="clear" w:pos="360"/>
                <w:tab w:val="num" w:pos="3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Supporting social competence</w:t>
            </w:r>
          </w:p>
          <w:p w14:paraId="3AA7FD78" w14:textId="77777777" w:rsidR="00BF6D72" w:rsidRPr="00EE0C6B" w:rsidRDefault="00BF6D72" w:rsidP="001150CB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Patterns of socialization with adults and peers that is unique to learners on the autism spectrum</w:t>
            </w:r>
          </w:p>
          <w:p w14:paraId="59B3C09B" w14:textId="77777777" w:rsidR="00BF6D72" w:rsidRPr="00EE0C6B" w:rsidRDefault="00BF6D72" w:rsidP="001150CB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Supports spontaneous joint attention, imitation, initiations and social reciprocity across partners, activities and setting</w:t>
            </w:r>
          </w:p>
          <w:p w14:paraId="5FF0D63E" w14:textId="77777777" w:rsidR="00BF6D72" w:rsidRPr="00EE0C6B" w:rsidRDefault="00BF6D72" w:rsidP="001150CB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Adult-directed social skills training (ABA/direct instruction)</w:t>
            </w:r>
          </w:p>
          <w:p w14:paraId="355803DB" w14:textId="77777777" w:rsidR="00BF6D72" w:rsidRPr="00EE0C6B" w:rsidRDefault="00BF6D72" w:rsidP="001150CB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Child-centered approaches (developmental, relationship-based, transactional)</w:t>
            </w:r>
          </w:p>
          <w:p w14:paraId="0C98C1A7" w14:textId="77777777" w:rsidR="00BF6D72" w:rsidRPr="00EE0C6B" w:rsidRDefault="00BF6D72" w:rsidP="001150CB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Peer-mediated practices</w:t>
            </w:r>
          </w:p>
          <w:p w14:paraId="5B49D605" w14:textId="77777777" w:rsidR="00BF6D72" w:rsidRPr="00EE0C6B" w:rsidRDefault="00BF6D72" w:rsidP="001150CB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Social-cognitive approaches</w:t>
            </w:r>
          </w:p>
        </w:tc>
        <w:tc>
          <w:tcPr>
            <w:tcW w:w="549" w:type="pct"/>
            <w:gridSpan w:val="2"/>
          </w:tcPr>
          <w:p w14:paraId="3AA45A0E" w14:textId="77777777" w:rsidR="00BF6D72" w:rsidRPr="00EE0C6B" w:rsidRDefault="00BF6D72" w:rsidP="001150CB">
            <w:pPr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</w:tcPr>
          <w:p w14:paraId="4E1F9590" w14:textId="77777777" w:rsidR="00BF6D72" w:rsidRPr="00EE0C6B" w:rsidRDefault="00BF6D72" w:rsidP="001150CB">
            <w:pPr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49" w:type="pct"/>
          </w:tcPr>
          <w:p w14:paraId="2CB9A448" w14:textId="77777777" w:rsidR="00BF6D72" w:rsidRPr="00EE0C6B" w:rsidRDefault="00BF6D72" w:rsidP="001150CB">
            <w:pPr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F6D72" w:rsidRPr="00EE0C6B" w14:paraId="1D049983" w14:textId="77777777" w:rsidTr="00BF6D72">
        <w:tc>
          <w:tcPr>
            <w:tcW w:w="3585" w:type="pct"/>
          </w:tcPr>
          <w:p w14:paraId="7CDF62A9" w14:textId="77777777" w:rsidR="00BF6D72" w:rsidRPr="00EE0C6B" w:rsidRDefault="00BF6D72" w:rsidP="001150CB">
            <w:pPr>
              <w:numPr>
                <w:ilvl w:val="0"/>
                <w:numId w:val="29"/>
              </w:numPr>
              <w:tabs>
                <w:tab w:val="clear" w:pos="360"/>
                <w:tab w:val="num" w:pos="3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Supporting play/leisure and imagination</w:t>
            </w:r>
          </w:p>
          <w:p w14:paraId="20D8D88B" w14:textId="77777777" w:rsidR="00BF6D72" w:rsidRPr="00EE0C6B" w:rsidRDefault="00BF6D72" w:rsidP="001150CB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Patterns of play and imagination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unique to learners on the autism spectrum</w:t>
            </w:r>
          </w:p>
          <w:p w14:paraId="39F81CBF" w14:textId="77777777" w:rsidR="00BF6D72" w:rsidRPr="00EE0C6B" w:rsidRDefault="00BF6D72" w:rsidP="001150CB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Supports spontaneous engagement in a range of developmentally and age-appropriate play/leisure activities across independent and social contexts</w:t>
            </w:r>
          </w:p>
          <w:p w14:paraId="7E739377" w14:textId="77777777" w:rsidR="00BF6D72" w:rsidRPr="00EE0C6B" w:rsidRDefault="00BF6D72" w:rsidP="001150CB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Incorporating play materials, activities and themes varying in degree of symbolic representation</w:t>
            </w:r>
          </w:p>
          <w:p w14:paraId="32ED3265" w14:textId="77777777" w:rsidR="00BF6D72" w:rsidRPr="00EE0C6B" w:rsidRDefault="00BF6D72" w:rsidP="001150CB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Adult-directed approaches</w:t>
            </w:r>
          </w:p>
          <w:p w14:paraId="50B31166" w14:textId="77777777" w:rsidR="00BF6D72" w:rsidRPr="00EE0C6B" w:rsidRDefault="00BF6D72" w:rsidP="001150CB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Child-centered approaches</w:t>
            </w:r>
          </w:p>
          <w:p w14:paraId="00AF658D" w14:textId="77777777" w:rsidR="00BF6D72" w:rsidRPr="00EE0C6B" w:rsidRDefault="00BF6D72" w:rsidP="001150CB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Peer-mediated approaches</w:t>
            </w:r>
          </w:p>
        </w:tc>
        <w:tc>
          <w:tcPr>
            <w:tcW w:w="549" w:type="pct"/>
            <w:gridSpan w:val="2"/>
          </w:tcPr>
          <w:p w14:paraId="63D7907C" w14:textId="77777777" w:rsidR="00BF6D72" w:rsidRPr="00EE0C6B" w:rsidRDefault="00BF6D72" w:rsidP="001150C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</w:tcPr>
          <w:p w14:paraId="5FCEE313" w14:textId="77777777" w:rsidR="00BF6D72" w:rsidRPr="00EE0C6B" w:rsidRDefault="00BF6D72" w:rsidP="001150C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9" w:type="pct"/>
          </w:tcPr>
          <w:p w14:paraId="1EEA4923" w14:textId="77777777" w:rsidR="00BF6D72" w:rsidRPr="00EE0C6B" w:rsidRDefault="00BF6D72" w:rsidP="001150C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1183FD3F" w14:textId="77777777" w:rsidR="00BF6D72" w:rsidRDefault="00BF6D72" w:rsidP="00EE0C6B">
      <w:pPr>
        <w:spacing w:line="240" w:lineRule="auto"/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32DCA3F5" w14:textId="6E6F167C" w:rsidR="00BF6D72" w:rsidRDefault="00BF6D72" w:rsidP="00EE0C6B">
      <w:pPr>
        <w:spacing w:line="240" w:lineRule="auto"/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36BE8025" w14:textId="4546D0E6" w:rsidR="00BF6D72" w:rsidRDefault="00BF6D72" w:rsidP="00EE0C6B">
      <w:pPr>
        <w:spacing w:line="240" w:lineRule="auto"/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5FAC3825" w14:textId="77777777" w:rsidR="00BF6D72" w:rsidRDefault="00BF6D72" w:rsidP="00BF6D72">
      <w:pPr>
        <w:spacing w:line="240" w:lineRule="auto"/>
        <w:rPr>
          <w:rFonts w:ascii="Calibri" w:hAnsi="Calibri" w:cs="Calibri"/>
          <w:iCs/>
          <w:color w:val="000000" w:themeColor="text1"/>
          <w:sz w:val="20"/>
          <w:szCs w:val="20"/>
        </w:rPr>
      </w:pPr>
      <w:r w:rsidRPr="00EE0C6B">
        <w:rPr>
          <w:rFonts w:ascii="Calibri" w:hAnsi="Calibri" w:cs="Calibri"/>
          <w:iCs/>
          <w:color w:val="000000" w:themeColor="text1"/>
          <w:sz w:val="20"/>
          <w:szCs w:val="20"/>
        </w:rPr>
        <w:t xml:space="preserve">Rating Scale: </w:t>
      </w:r>
      <w:r w:rsidRPr="00EE0C6B">
        <w:rPr>
          <w:rFonts w:ascii="Calibri" w:hAnsi="Calibri" w:cs="Calibri"/>
          <w:b/>
          <w:iCs/>
          <w:color w:val="000000" w:themeColor="text1"/>
          <w:sz w:val="20"/>
          <w:szCs w:val="20"/>
        </w:rPr>
        <w:t>3</w:t>
      </w:r>
      <w:r w:rsidRPr="00EE0C6B">
        <w:rPr>
          <w:rFonts w:ascii="Calibri" w:hAnsi="Calibri" w:cs="Calibri"/>
          <w:iCs/>
          <w:color w:val="000000" w:themeColor="text1"/>
          <w:sz w:val="20"/>
          <w:szCs w:val="20"/>
        </w:rPr>
        <w:t xml:space="preserve"> = highly competent </w:t>
      </w:r>
      <w:r w:rsidRPr="00EE0C6B">
        <w:rPr>
          <w:rFonts w:ascii="Calibri" w:hAnsi="Calibri" w:cs="Calibri"/>
          <w:b/>
          <w:iCs/>
          <w:color w:val="000000" w:themeColor="text1"/>
          <w:sz w:val="20"/>
          <w:szCs w:val="20"/>
        </w:rPr>
        <w:t>2</w:t>
      </w:r>
      <w:r w:rsidRPr="00EE0C6B">
        <w:rPr>
          <w:rFonts w:ascii="Calibri" w:hAnsi="Calibri" w:cs="Calibri"/>
          <w:iCs/>
          <w:color w:val="000000" w:themeColor="text1"/>
          <w:sz w:val="20"/>
          <w:szCs w:val="20"/>
        </w:rPr>
        <w:t xml:space="preserve"> = moderately competent   </w:t>
      </w:r>
      <w:r w:rsidRPr="00EE0C6B">
        <w:rPr>
          <w:rFonts w:ascii="Calibri" w:hAnsi="Calibri" w:cs="Calibri"/>
          <w:b/>
          <w:iCs/>
          <w:color w:val="000000" w:themeColor="text1"/>
          <w:sz w:val="20"/>
          <w:szCs w:val="20"/>
        </w:rPr>
        <w:t xml:space="preserve">1 </w:t>
      </w:r>
      <w:r w:rsidRPr="00EE0C6B">
        <w:rPr>
          <w:rFonts w:ascii="Calibri" w:hAnsi="Calibri" w:cs="Calibri"/>
          <w:iCs/>
          <w:color w:val="000000" w:themeColor="text1"/>
          <w:sz w:val="20"/>
          <w:szCs w:val="20"/>
        </w:rPr>
        <w:t xml:space="preserve">= emerging competence   </w:t>
      </w:r>
      <w:r w:rsidRPr="00EE0C6B">
        <w:rPr>
          <w:rFonts w:ascii="Calibri" w:hAnsi="Calibri" w:cs="Calibri"/>
          <w:b/>
          <w:iCs/>
          <w:color w:val="000000" w:themeColor="text1"/>
          <w:sz w:val="20"/>
          <w:szCs w:val="20"/>
        </w:rPr>
        <w:t>0</w:t>
      </w:r>
      <w:r w:rsidRPr="00EE0C6B">
        <w:rPr>
          <w:rFonts w:ascii="Calibri" w:hAnsi="Calibri" w:cs="Calibri"/>
          <w:iCs/>
          <w:color w:val="000000" w:themeColor="text1"/>
          <w:sz w:val="20"/>
          <w:szCs w:val="20"/>
        </w:rPr>
        <w:t xml:space="preserve"> = not yet competent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0"/>
        <w:gridCol w:w="958"/>
        <w:gridCol w:w="13"/>
        <w:gridCol w:w="737"/>
        <w:gridCol w:w="794"/>
      </w:tblGrid>
      <w:tr w:rsidR="00BF6D72" w:rsidRPr="00EE0C6B" w14:paraId="4320E31E" w14:textId="77777777" w:rsidTr="001150CB"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BEDA" w14:textId="77777777" w:rsidR="00BF6D72" w:rsidRPr="00BF6D72" w:rsidRDefault="00BF6D72" w:rsidP="001150CB">
            <w:pPr>
              <w:tabs>
                <w:tab w:val="num" w:pos="399"/>
              </w:tabs>
              <w:spacing w:after="0" w:line="240" w:lineRule="auto"/>
              <w:ind w:left="360" w:hanging="36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A21D" w14:textId="77777777" w:rsidR="00BF6D72" w:rsidRPr="00BF6D72" w:rsidRDefault="00BF6D72" w:rsidP="001150CB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F6D72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Beginning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022F" w14:textId="77777777" w:rsidR="00BF6D72" w:rsidRPr="00BF6D72" w:rsidRDefault="00BF6D72" w:rsidP="001150CB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F6D72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Middle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A223" w14:textId="77777777" w:rsidR="00BF6D72" w:rsidRPr="00BF6D72" w:rsidRDefault="00BF6D72" w:rsidP="001150CB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F6D72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End</w:t>
            </w:r>
          </w:p>
        </w:tc>
      </w:tr>
      <w:tr w:rsidR="00BF6D72" w:rsidRPr="00EE0C6B" w14:paraId="1E4C2039" w14:textId="77777777" w:rsidTr="00216F5C">
        <w:tc>
          <w:tcPr>
            <w:tcW w:w="3585" w:type="pct"/>
          </w:tcPr>
          <w:p w14:paraId="558AACDE" w14:textId="77777777" w:rsidR="00BF6D72" w:rsidRPr="00EE0C6B" w:rsidRDefault="00BF6D72" w:rsidP="001150CB">
            <w:pPr>
              <w:numPr>
                <w:ilvl w:val="0"/>
                <w:numId w:val="29"/>
              </w:numPr>
              <w:tabs>
                <w:tab w:val="clear" w:pos="360"/>
                <w:tab w:val="left" w:pos="-4902"/>
                <w:tab w:val="left" w:pos="-4731"/>
                <w:tab w:val="left" w:pos="0"/>
                <w:tab w:val="left" w:pos="342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Inclusion with typical peers</w:t>
            </w:r>
          </w:p>
          <w:p w14:paraId="4416A9B3" w14:textId="77777777" w:rsidR="00BF6D72" w:rsidRPr="00EE0C6B" w:rsidRDefault="00BF6D72" w:rsidP="001150CB">
            <w:pPr>
              <w:numPr>
                <w:ilvl w:val="1"/>
                <w:numId w:val="29"/>
              </w:numPr>
              <w:tabs>
                <w:tab w:val="clear" w:pos="792"/>
                <w:tab w:val="left" w:pos="-4902"/>
                <w:tab w:val="left" w:pos="-4845"/>
                <w:tab w:val="left" w:pos="-4731"/>
                <w:tab w:val="left" w:pos="342"/>
                <w:tab w:val="num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Facilitates inclusion across natural contexts within school, home and community settings</w:t>
            </w:r>
          </w:p>
          <w:p w14:paraId="347904D4" w14:textId="77777777" w:rsidR="00BF6D72" w:rsidRPr="00EE0C6B" w:rsidRDefault="00BF6D72" w:rsidP="001150CB">
            <w:pPr>
              <w:numPr>
                <w:ilvl w:val="1"/>
                <w:numId w:val="29"/>
              </w:numPr>
              <w:tabs>
                <w:tab w:val="clear" w:pos="792"/>
                <w:tab w:val="left" w:pos="-4902"/>
                <w:tab w:val="left" w:pos="-4845"/>
                <w:tab w:val="left" w:pos="-4731"/>
                <w:tab w:val="left" w:pos="342"/>
                <w:tab w:val="num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Explicit guidance for both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learners on the autism spectrum</w:t>
            </w: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neuro</w:t>
            </w: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typical</w:t>
            </w:r>
            <w:proofErr w:type="spellEnd"/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peers</w:t>
            </w:r>
          </w:p>
          <w:p w14:paraId="21BB19D3" w14:textId="77777777" w:rsidR="00BF6D72" w:rsidRPr="00EE0C6B" w:rsidRDefault="00BF6D72" w:rsidP="001150CB">
            <w:pPr>
              <w:numPr>
                <w:ilvl w:val="1"/>
                <w:numId w:val="29"/>
              </w:numPr>
              <w:tabs>
                <w:tab w:val="clear" w:pos="792"/>
                <w:tab w:val="left" w:pos="-4902"/>
                <w:tab w:val="left" w:pos="-4845"/>
                <w:tab w:val="left" w:pos="-4731"/>
                <w:tab w:val="left" w:pos="342"/>
                <w:tab w:val="num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Creates culture of inclusion via awareness activities that promote understanding, empathy and accepta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nce of diverse learners on the autism spectrum</w:t>
            </w:r>
          </w:p>
          <w:p w14:paraId="21DA8135" w14:textId="77777777" w:rsidR="00BF6D72" w:rsidRPr="00EE0C6B" w:rsidRDefault="00BF6D72" w:rsidP="001150CB">
            <w:pPr>
              <w:numPr>
                <w:ilvl w:val="1"/>
                <w:numId w:val="29"/>
              </w:numPr>
              <w:tabs>
                <w:tab w:val="clear" w:pos="792"/>
                <w:tab w:val="left" w:pos="-4902"/>
                <w:tab w:val="left" w:pos="-4845"/>
                <w:tab w:val="left" w:pos="-4731"/>
                <w:tab w:val="left" w:pos="342"/>
                <w:tab w:val="num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Consistent opportunities to form social relationships and mutual friendships</w:t>
            </w:r>
          </w:p>
          <w:p w14:paraId="569B81A7" w14:textId="77777777" w:rsidR="00BF6D72" w:rsidRPr="00EE0C6B" w:rsidRDefault="00BF6D72" w:rsidP="001150CB">
            <w:pPr>
              <w:numPr>
                <w:ilvl w:val="1"/>
                <w:numId w:val="29"/>
              </w:numPr>
              <w:tabs>
                <w:tab w:val="clear" w:pos="792"/>
                <w:tab w:val="left" w:pos="-4902"/>
                <w:tab w:val="left" w:pos="-4845"/>
                <w:tab w:val="left" w:pos="-4731"/>
                <w:tab w:val="left" w:pos="342"/>
                <w:tab w:val="num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Guided participation in mutually enjoyed activities that are a natural part of the peer culture (play and recreation)</w:t>
            </w:r>
          </w:p>
          <w:p w14:paraId="26C9D4BD" w14:textId="77777777" w:rsidR="00BF6D72" w:rsidRPr="00EE0C6B" w:rsidRDefault="00BF6D72" w:rsidP="001150CB">
            <w:pPr>
              <w:numPr>
                <w:ilvl w:val="1"/>
                <w:numId w:val="29"/>
              </w:numPr>
              <w:tabs>
                <w:tab w:val="clear" w:pos="792"/>
                <w:tab w:val="left" w:pos="-4902"/>
                <w:tab w:val="left" w:pos="-4845"/>
                <w:tab w:val="left" w:pos="-4731"/>
                <w:tab w:val="left" w:pos="342"/>
                <w:tab w:val="num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Designs inviting play spaces and selects play materials with high interactive potential</w:t>
            </w:r>
          </w:p>
        </w:tc>
        <w:tc>
          <w:tcPr>
            <w:tcW w:w="549" w:type="pct"/>
            <w:gridSpan w:val="2"/>
          </w:tcPr>
          <w:p w14:paraId="27F30DCF" w14:textId="77777777" w:rsidR="00BF6D72" w:rsidRPr="00EE0C6B" w:rsidRDefault="00BF6D72" w:rsidP="001150CB">
            <w:pPr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</w:tcPr>
          <w:p w14:paraId="32658C0D" w14:textId="77777777" w:rsidR="00BF6D72" w:rsidRPr="00EE0C6B" w:rsidRDefault="00BF6D72" w:rsidP="001150CB">
            <w:pPr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49" w:type="pct"/>
          </w:tcPr>
          <w:p w14:paraId="7CBA9DFE" w14:textId="77777777" w:rsidR="00BF6D72" w:rsidRPr="00EE0C6B" w:rsidRDefault="00BF6D72" w:rsidP="001150CB">
            <w:pPr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F6D72" w:rsidRPr="00EE0C6B" w14:paraId="1E09765D" w14:textId="77777777" w:rsidTr="00216F5C">
        <w:tc>
          <w:tcPr>
            <w:tcW w:w="3585" w:type="pct"/>
          </w:tcPr>
          <w:p w14:paraId="697CE36D" w14:textId="77777777" w:rsidR="00BF6D72" w:rsidRPr="00EE0C6B" w:rsidRDefault="00BF6D72" w:rsidP="001150CB">
            <w:pPr>
              <w:numPr>
                <w:ilvl w:val="0"/>
                <w:numId w:val="29"/>
              </w:numPr>
              <w:tabs>
                <w:tab w:val="left" w:pos="-4902"/>
                <w:tab w:val="left" w:pos="-4845"/>
                <w:tab w:val="left" w:pos="-47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Transition, vocational and independent living</w:t>
            </w:r>
          </w:p>
          <w:p w14:paraId="772DB9B1" w14:textId="77777777" w:rsidR="00BF6D72" w:rsidRPr="00EE0C6B" w:rsidRDefault="00BF6D72" w:rsidP="001150CB">
            <w:pPr>
              <w:numPr>
                <w:ilvl w:val="1"/>
                <w:numId w:val="29"/>
              </w:numPr>
              <w:tabs>
                <w:tab w:val="left" w:pos="-4902"/>
                <w:tab w:val="left" w:pos="-4845"/>
                <w:tab w:val="left" w:pos="-4731"/>
                <w:tab w:val="left" w:pos="342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Promotes adaptive behaviors to foster independence at all age and ability levels</w:t>
            </w:r>
          </w:p>
          <w:p w14:paraId="3039A720" w14:textId="77777777" w:rsidR="00BF6D72" w:rsidRPr="00EE0C6B" w:rsidRDefault="00BF6D72" w:rsidP="001150CB">
            <w:pPr>
              <w:numPr>
                <w:ilvl w:val="1"/>
                <w:numId w:val="29"/>
              </w:numPr>
              <w:tabs>
                <w:tab w:val="left" w:pos="-4902"/>
                <w:tab w:val="left" w:pos="-4845"/>
                <w:tab w:val="left" w:pos="-4731"/>
                <w:tab w:val="left" w:pos="342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Plans transitions from one classroom, program or service delivery system to another</w:t>
            </w:r>
          </w:p>
          <w:p w14:paraId="2ECD38CA" w14:textId="77777777" w:rsidR="00BF6D72" w:rsidRPr="00EE0C6B" w:rsidRDefault="00BF6D72" w:rsidP="001150CB">
            <w:pPr>
              <w:numPr>
                <w:ilvl w:val="1"/>
                <w:numId w:val="29"/>
              </w:numPr>
              <w:tabs>
                <w:tab w:val="clear" w:pos="792"/>
                <w:tab w:val="left" w:pos="-4902"/>
                <w:tab w:val="left" w:pos="-4845"/>
                <w:tab w:val="left" w:pos="-4731"/>
                <w:tab w:val="num" w:pos="-3306"/>
                <w:tab w:val="left" w:pos="342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Supports transition to self-determined careers and post-secondary education and community living</w:t>
            </w:r>
          </w:p>
          <w:p w14:paraId="12085FC6" w14:textId="77777777" w:rsidR="00BF6D72" w:rsidRPr="00EE0C6B" w:rsidRDefault="00BF6D72" w:rsidP="001150CB">
            <w:pPr>
              <w:numPr>
                <w:ilvl w:val="1"/>
                <w:numId w:val="29"/>
              </w:numPr>
              <w:tabs>
                <w:tab w:val="left" w:pos="-4902"/>
                <w:tab w:val="left" w:pos="-4845"/>
                <w:tab w:val="left" w:pos="-4731"/>
                <w:tab w:val="left" w:pos="342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Training in vocational and independent living skills</w:t>
            </w:r>
          </w:p>
          <w:p w14:paraId="664EDFDB" w14:textId="77777777" w:rsidR="00BF6D72" w:rsidRPr="00EE0C6B" w:rsidRDefault="00BF6D72" w:rsidP="001150CB">
            <w:pPr>
              <w:numPr>
                <w:ilvl w:val="1"/>
                <w:numId w:val="29"/>
              </w:numPr>
              <w:tabs>
                <w:tab w:val="left" w:pos="-4902"/>
                <w:tab w:val="left" w:pos="-4845"/>
                <w:tab w:val="left" w:pos="-4731"/>
                <w:tab w:val="left" w:pos="342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Interagency collaboration</w:t>
            </w:r>
          </w:p>
          <w:p w14:paraId="7AEEC5D9" w14:textId="77777777" w:rsidR="00BF6D72" w:rsidRPr="00EE0C6B" w:rsidRDefault="00BF6D72" w:rsidP="001150CB">
            <w:pPr>
              <w:numPr>
                <w:ilvl w:val="1"/>
                <w:numId w:val="29"/>
              </w:numPr>
              <w:tabs>
                <w:tab w:val="left" w:pos="-4902"/>
                <w:tab w:val="left" w:pos="-4845"/>
                <w:tab w:val="left" w:pos="-4731"/>
                <w:tab w:val="left" w:pos="342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Self-advocacy and disclosure perspectives of adults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who identify on the autism spectrum</w:t>
            </w:r>
          </w:p>
        </w:tc>
        <w:tc>
          <w:tcPr>
            <w:tcW w:w="549" w:type="pct"/>
            <w:gridSpan w:val="2"/>
          </w:tcPr>
          <w:p w14:paraId="35290840" w14:textId="77777777" w:rsidR="00BF6D72" w:rsidRPr="00EE0C6B" w:rsidRDefault="00BF6D72" w:rsidP="001150CB">
            <w:pPr>
              <w:spacing w:line="240" w:lineRule="auto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</w:tcPr>
          <w:p w14:paraId="022E40D1" w14:textId="77777777" w:rsidR="00BF6D72" w:rsidRPr="00EE0C6B" w:rsidRDefault="00BF6D72" w:rsidP="001150CB">
            <w:pPr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</w:tcPr>
          <w:p w14:paraId="437942EE" w14:textId="77777777" w:rsidR="00BF6D72" w:rsidRPr="00EE0C6B" w:rsidRDefault="00BF6D72" w:rsidP="001150CB">
            <w:pPr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F6D72" w:rsidRPr="00EE0C6B" w14:paraId="2897D8A4" w14:textId="77777777" w:rsidTr="00216F5C">
        <w:tc>
          <w:tcPr>
            <w:tcW w:w="3585" w:type="pct"/>
          </w:tcPr>
          <w:p w14:paraId="6C0E865B" w14:textId="77777777" w:rsidR="00BF6D72" w:rsidRPr="00EE0C6B" w:rsidRDefault="00BF6D72" w:rsidP="001150CB">
            <w:pPr>
              <w:numPr>
                <w:ilvl w:val="0"/>
                <w:numId w:val="29"/>
              </w:numPr>
              <w:tabs>
                <w:tab w:val="left" w:pos="-4902"/>
                <w:tab w:val="left" w:pos="-4845"/>
                <w:tab w:val="left" w:pos="-4731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Professional literacy and leadership</w:t>
            </w:r>
          </w:p>
          <w:p w14:paraId="04453039" w14:textId="77777777" w:rsidR="00BF6D72" w:rsidRPr="00EE0C6B" w:rsidRDefault="00BF6D72" w:rsidP="001150CB">
            <w:pPr>
              <w:numPr>
                <w:ilvl w:val="1"/>
                <w:numId w:val="29"/>
              </w:numPr>
              <w:tabs>
                <w:tab w:val="left" w:pos="-4902"/>
                <w:tab w:val="left" w:pos="-4845"/>
                <w:tab w:val="left" w:pos="-4731"/>
                <w:tab w:val="left" w:pos="342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Peer reviewed journals and publications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on research and practice in the area of autism</w:t>
            </w:r>
          </w:p>
          <w:p w14:paraId="6D57A231" w14:textId="77777777" w:rsidR="00BF6D72" w:rsidRPr="00EE0C6B" w:rsidRDefault="00BF6D72" w:rsidP="001150CB">
            <w:pPr>
              <w:numPr>
                <w:ilvl w:val="1"/>
                <w:numId w:val="29"/>
              </w:numPr>
              <w:tabs>
                <w:tab w:val="left" w:pos="-4902"/>
                <w:tab w:val="left" w:pos="-4845"/>
                <w:tab w:val="left" w:pos="-4731"/>
                <w:tab w:val="left" w:pos="342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Professional and parent organizations (local, national and international)</w:t>
            </w:r>
          </w:p>
          <w:p w14:paraId="55F62770" w14:textId="77777777" w:rsidR="00BF6D72" w:rsidRPr="00EE0C6B" w:rsidRDefault="00BF6D72" w:rsidP="001150CB">
            <w:pPr>
              <w:numPr>
                <w:ilvl w:val="1"/>
                <w:numId w:val="29"/>
              </w:numPr>
              <w:tabs>
                <w:tab w:val="left" w:pos="-4902"/>
                <w:tab w:val="left" w:pos="-4845"/>
                <w:tab w:val="left" w:pos="-4731"/>
                <w:tab w:val="left" w:pos="342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Current trends and c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ontroversies in the field related to autism</w:t>
            </w:r>
          </w:p>
          <w:p w14:paraId="5F53D46B" w14:textId="77777777" w:rsidR="00BF6D72" w:rsidRPr="00EE0C6B" w:rsidRDefault="00BF6D72" w:rsidP="001150CB">
            <w:pPr>
              <w:numPr>
                <w:ilvl w:val="1"/>
                <w:numId w:val="29"/>
              </w:numPr>
              <w:tabs>
                <w:tab w:val="left" w:pos="-4902"/>
                <w:tab w:val="left" w:pos="-4845"/>
                <w:tab w:val="left" w:pos="-4731"/>
                <w:tab w:val="left" w:pos="342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Judges quality and efficacy of educational program models, services and practices</w:t>
            </w:r>
          </w:p>
          <w:p w14:paraId="2E08F9D1" w14:textId="77777777" w:rsidR="00BF6D72" w:rsidRPr="00EE0C6B" w:rsidRDefault="00BF6D72" w:rsidP="001150CB">
            <w:pPr>
              <w:numPr>
                <w:ilvl w:val="1"/>
                <w:numId w:val="29"/>
              </w:numPr>
              <w:tabs>
                <w:tab w:val="left" w:pos="-4902"/>
                <w:tab w:val="left" w:pos="-4845"/>
                <w:tab w:val="left" w:pos="-4731"/>
                <w:tab w:val="left" w:pos="342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Engages in reflective practice via multiple modes of field-based systematic inquiry</w:t>
            </w:r>
          </w:p>
          <w:p w14:paraId="2964A4D0" w14:textId="77777777" w:rsidR="00BF6D72" w:rsidRPr="00EE0C6B" w:rsidRDefault="00BF6D72" w:rsidP="001150CB">
            <w:pPr>
              <w:numPr>
                <w:ilvl w:val="1"/>
                <w:numId w:val="29"/>
              </w:numPr>
              <w:tabs>
                <w:tab w:val="left" w:pos="-4902"/>
                <w:tab w:val="left" w:pos="-4845"/>
                <w:tab w:val="left" w:pos="-4731"/>
                <w:tab w:val="left" w:pos="342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E0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Uses multi-media technology to produce and present educational tools and techniques</w:t>
            </w:r>
          </w:p>
        </w:tc>
        <w:tc>
          <w:tcPr>
            <w:tcW w:w="549" w:type="pct"/>
            <w:gridSpan w:val="2"/>
          </w:tcPr>
          <w:p w14:paraId="151389E5" w14:textId="77777777" w:rsidR="00BF6D72" w:rsidRPr="00EE0C6B" w:rsidRDefault="00BF6D72" w:rsidP="001150CB">
            <w:pPr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</w:tcPr>
          <w:p w14:paraId="299DD0DD" w14:textId="77777777" w:rsidR="00BF6D72" w:rsidRPr="00EE0C6B" w:rsidRDefault="00BF6D72" w:rsidP="001150CB">
            <w:pPr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49" w:type="pct"/>
          </w:tcPr>
          <w:p w14:paraId="26626A61" w14:textId="77777777" w:rsidR="00BF6D72" w:rsidRPr="00EE0C6B" w:rsidRDefault="00BF6D72" w:rsidP="001150CB">
            <w:pPr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271257FC" w14:textId="0F971A67" w:rsidR="00EE0C6B" w:rsidRPr="00EE0C6B" w:rsidRDefault="00EE0C6B" w:rsidP="00EE0C6B">
      <w:pPr>
        <w:spacing w:line="240" w:lineRule="auto"/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EE0C6B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</w:t>
      </w:r>
    </w:p>
    <w:p w14:paraId="05C6206A" w14:textId="77777777" w:rsidR="00EE0C6B" w:rsidRPr="00EE0C6B" w:rsidRDefault="00EE0C6B" w:rsidP="00EE0C6B">
      <w:pPr>
        <w:spacing w:line="240" w:lineRule="auto"/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1CD62906" w14:textId="77777777" w:rsidR="00EE0C6B" w:rsidRPr="00EE0C6B" w:rsidRDefault="00EE0C6B" w:rsidP="00EE0C6B">
      <w:pPr>
        <w:spacing w:line="24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7445DB59" w14:textId="108A8C35" w:rsidR="00EE0C6B" w:rsidRPr="00EE0C6B" w:rsidRDefault="00EE0C6B" w:rsidP="00EE0C6B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sectPr w:rsidR="00EE0C6B" w:rsidRPr="00EE0C6B">
      <w:headerReference w:type="default" r:id="rId13"/>
      <w:headerReference w:type="first" r:id="rId14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D7D98" w14:textId="77777777" w:rsidR="00FA6AF6" w:rsidRDefault="00FA6AF6">
      <w:pPr>
        <w:spacing w:after="0" w:line="240" w:lineRule="auto"/>
      </w:pPr>
      <w:r>
        <w:separator/>
      </w:r>
    </w:p>
  </w:endnote>
  <w:endnote w:type="continuationSeparator" w:id="0">
    <w:p w14:paraId="2997EE18" w14:textId="77777777" w:rsidR="00FA6AF6" w:rsidRDefault="00FA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E2D5C" w14:textId="77777777" w:rsidR="00FA6AF6" w:rsidRDefault="00FA6AF6">
      <w:pPr>
        <w:spacing w:after="0" w:line="240" w:lineRule="auto"/>
      </w:pPr>
      <w:r>
        <w:separator/>
      </w:r>
    </w:p>
  </w:footnote>
  <w:footnote w:type="continuationSeparator" w:id="0">
    <w:p w14:paraId="686612F2" w14:textId="77777777" w:rsidR="00FA6AF6" w:rsidRDefault="00FA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BA1C1" w14:textId="77777777" w:rsidR="00EE0C6B" w:rsidRPr="00317B09" w:rsidRDefault="00EE0C6B" w:rsidP="00EE0C6B">
    <w:pPr>
      <w:pStyle w:val="Author"/>
      <w:spacing w:line="240" w:lineRule="auto"/>
      <w:jc w:val="center"/>
      <w:rPr>
        <w:rFonts w:ascii="Calibri" w:hAnsi="Calibri"/>
        <w:b w:val="0"/>
        <w:sz w:val="22"/>
        <w:szCs w:val="22"/>
      </w:rPr>
    </w:pPr>
    <w:r w:rsidRPr="00317B09">
      <w:rPr>
        <w:rFonts w:ascii="Calibri" w:hAnsi="Calibri"/>
        <w:b w:val="0"/>
        <w:sz w:val="22"/>
        <w:szCs w:val="22"/>
      </w:rPr>
      <w:t>San Francisco State University</w:t>
    </w:r>
  </w:p>
  <w:p w14:paraId="53093B4F" w14:textId="77777777" w:rsidR="00EE0C6B" w:rsidRPr="00317B09" w:rsidRDefault="00EE0C6B" w:rsidP="00EE0C6B">
    <w:pPr>
      <w:pStyle w:val="Subtitle"/>
      <w:spacing w:after="0" w:line="240" w:lineRule="auto"/>
      <w:jc w:val="center"/>
      <w:rPr>
        <w:b w:val="0"/>
        <w:color w:val="7030A0"/>
        <w:sz w:val="22"/>
      </w:rPr>
    </w:pPr>
    <w:r w:rsidRPr="00317B09">
      <w:rPr>
        <w:b w:val="0"/>
        <w:color w:val="7030A0"/>
        <w:sz w:val="22"/>
      </w:rPr>
      <w:t>Autism Spectrum Graduate Certificate</w:t>
    </w:r>
  </w:p>
  <w:p w14:paraId="1483AFB5" w14:textId="77777777" w:rsidR="00EE0C6B" w:rsidRPr="00EE0C6B" w:rsidRDefault="00EE0C6B" w:rsidP="00EE0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5A1BA" w14:textId="6D3781BE" w:rsidR="005477AC" w:rsidRPr="00317B09" w:rsidRDefault="005477AC" w:rsidP="005477AC">
    <w:pPr>
      <w:pStyle w:val="Author"/>
      <w:spacing w:line="240" w:lineRule="auto"/>
      <w:jc w:val="center"/>
      <w:rPr>
        <w:rFonts w:ascii="Calibri" w:hAnsi="Calibri"/>
        <w:b w:val="0"/>
        <w:sz w:val="22"/>
        <w:szCs w:val="22"/>
      </w:rPr>
    </w:pPr>
    <w:r w:rsidRPr="00317B09">
      <w:rPr>
        <w:rFonts w:ascii="Calibri" w:hAnsi="Calibri"/>
        <w:b w:val="0"/>
        <w:sz w:val="22"/>
        <w:szCs w:val="22"/>
      </w:rPr>
      <w:t>San Francisco State University</w:t>
    </w:r>
  </w:p>
  <w:p w14:paraId="0B85588C" w14:textId="15E7B1A0" w:rsidR="00317B09" w:rsidRPr="00317B09" w:rsidRDefault="00B20DE4" w:rsidP="00317B09">
    <w:pPr>
      <w:pStyle w:val="Subtitle"/>
      <w:spacing w:after="0" w:line="240" w:lineRule="auto"/>
      <w:jc w:val="center"/>
      <w:rPr>
        <w:b w:val="0"/>
        <w:color w:val="7030A0"/>
        <w:sz w:val="22"/>
      </w:rPr>
    </w:pPr>
    <w:r w:rsidRPr="00317B09">
      <w:rPr>
        <w:b w:val="0"/>
        <w:color w:val="7030A0"/>
        <w:sz w:val="22"/>
      </w:rPr>
      <w:t>Autism Spectrum Graduate Certificate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994AD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61957B8"/>
    <w:multiLevelType w:val="hybridMultilevel"/>
    <w:tmpl w:val="ECE00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861982"/>
    <w:multiLevelType w:val="hybridMultilevel"/>
    <w:tmpl w:val="7F963E00"/>
    <w:lvl w:ilvl="0" w:tplc="B3D0CE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895F83"/>
    <w:multiLevelType w:val="hybridMultilevel"/>
    <w:tmpl w:val="F8C65730"/>
    <w:lvl w:ilvl="0" w:tplc="B3D0CE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AC0D0D"/>
    <w:multiLevelType w:val="hybridMultilevel"/>
    <w:tmpl w:val="D69A7A5E"/>
    <w:lvl w:ilvl="0" w:tplc="B3D0CE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C35F4C"/>
    <w:multiLevelType w:val="hybridMultilevel"/>
    <w:tmpl w:val="6F40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86743"/>
    <w:multiLevelType w:val="hybridMultilevel"/>
    <w:tmpl w:val="57AE1ADA"/>
    <w:lvl w:ilvl="0" w:tplc="B18E0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F3BC3"/>
    <w:multiLevelType w:val="hybridMultilevel"/>
    <w:tmpl w:val="FB6AD80A"/>
    <w:lvl w:ilvl="0" w:tplc="7EEE0B2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07235"/>
    <w:multiLevelType w:val="hybridMultilevel"/>
    <w:tmpl w:val="5820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B0F3A"/>
    <w:multiLevelType w:val="hybridMultilevel"/>
    <w:tmpl w:val="E1CCCA58"/>
    <w:lvl w:ilvl="0" w:tplc="B3D0CE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990D1E"/>
    <w:multiLevelType w:val="hybridMultilevel"/>
    <w:tmpl w:val="C760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30227"/>
    <w:multiLevelType w:val="hybridMultilevel"/>
    <w:tmpl w:val="EB5EF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420027"/>
    <w:multiLevelType w:val="hybridMultilevel"/>
    <w:tmpl w:val="1ADA8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734274"/>
    <w:multiLevelType w:val="hybridMultilevel"/>
    <w:tmpl w:val="28DC00DE"/>
    <w:lvl w:ilvl="0" w:tplc="08B453D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E40B7"/>
    <w:multiLevelType w:val="hybridMultilevel"/>
    <w:tmpl w:val="075ED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8"/>
  </w:num>
  <w:num w:numId="7">
    <w:abstractNumId w:val="2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2"/>
  </w:num>
  <w:num w:numId="18">
    <w:abstractNumId w:val="20"/>
  </w:num>
  <w:num w:numId="19">
    <w:abstractNumId w:val="13"/>
  </w:num>
  <w:num w:numId="20">
    <w:abstractNumId w:val="14"/>
  </w:num>
  <w:num w:numId="21">
    <w:abstractNumId w:val="23"/>
  </w:num>
  <w:num w:numId="22">
    <w:abstractNumId w:val="25"/>
  </w:num>
  <w:num w:numId="23">
    <w:abstractNumId w:val="22"/>
  </w:num>
  <w:num w:numId="24">
    <w:abstractNumId w:val="11"/>
  </w:num>
  <w:num w:numId="25">
    <w:abstractNumId w:val="15"/>
  </w:num>
  <w:num w:numId="26">
    <w:abstractNumId w:val="19"/>
  </w:num>
  <w:num w:numId="27">
    <w:abstractNumId w:val="21"/>
  </w:num>
  <w:num w:numId="28">
    <w:abstractNumId w:val="1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64D"/>
    <w:rsid w:val="0006264D"/>
    <w:rsid w:val="000918B3"/>
    <w:rsid w:val="000D7860"/>
    <w:rsid w:val="001770F8"/>
    <w:rsid w:val="001D2B9D"/>
    <w:rsid w:val="001E088F"/>
    <w:rsid w:val="001F178A"/>
    <w:rsid w:val="00216F5C"/>
    <w:rsid w:val="0022262A"/>
    <w:rsid w:val="00233DA0"/>
    <w:rsid w:val="00285510"/>
    <w:rsid w:val="002B2642"/>
    <w:rsid w:val="00306B3C"/>
    <w:rsid w:val="00317B09"/>
    <w:rsid w:val="00325B8F"/>
    <w:rsid w:val="003352A7"/>
    <w:rsid w:val="003D32FF"/>
    <w:rsid w:val="00400AC9"/>
    <w:rsid w:val="00414AFF"/>
    <w:rsid w:val="004669A3"/>
    <w:rsid w:val="00492B46"/>
    <w:rsid w:val="004A6263"/>
    <w:rsid w:val="005010E8"/>
    <w:rsid w:val="005418E2"/>
    <w:rsid w:val="00542503"/>
    <w:rsid w:val="005477AC"/>
    <w:rsid w:val="005544F8"/>
    <w:rsid w:val="005B6872"/>
    <w:rsid w:val="00606EE9"/>
    <w:rsid w:val="00614D00"/>
    <w:rsid w:val="00636E60"/>
    <w:rsid w:val="006A3C17"/>
    <w:rsid w:val="006A4557"/>
    <w:rsid w:val="006B7B2A"/>
    <w:rsid w:val="00736282"/>
    <w:rsid w:val="00741DCD"/>
    <w:rsid w:val="00757C63"/>
    <w:rsid w:val="007B6397"/>
    <w:rsid w:val="008034A8"/>
    <w:rsid w:val="008148A3"/>
    <w:rsid w:val="00847279"/>
    <w:rsid w:val="008B785A"/>
    <w:rsid w:val="0099052A"/>
    <w:rsid w:val="009B0A73"/>
    <w:rsid w:val="00A25C5C"/>
    <w:rsid w:val="00A80D53"/>
    <w:rsid w:val="00B00778"/>
    <w:rsid w:val="00B0318E"/>
    <w:rsid w:val="00B20DE4"/>
    <w:rsid w:val="00BF6D72"/>
    <w:rsid w:val="00C379BF"/>
    <w:rsid w:val="00C93AF5"/>
    <w:rsid w:val="00D70E15"/>
    <w:rsid w:val="00D926E5"/>
    <w:rsid w:val="00DE3012"/>
    <w:rsid w:val="00EE0C6B"/>
    <w:rsid w:val="00EF7E69"/>
    <w:rsid w:val="00F47D94"/>
    <w:rsid w:val="00F853C2"/>
    <w:rsid w:val="00F95302"/>
    <w:rsid w:val="00FA6AF6"/>
    <w:rsid w:val="00FB05FC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295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Bullet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QuoteChar">
    <w:name w:val="Quote Char"/>
    <w:basedOn w:val="DefaultParagraphFont"/>
    <w:link w:val="Quote"/>
    <w:uiPriority w:val="10"/>
    <w:rPr>
      <w:b/>
      <w:iCs/>
      <w:color w:val="F75952" w:themeColor="accent1"/>
      <w:sz w:val="5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Emphasis">
    <w:name w:val="Emphasis"/>
    <w:basedOn w:val="DefaultParagraphFont"/>
    <w:uiPriority w:val="10"/>
    <w:qFormat/>
    <w:rPr>
      <w:b w:val="0"/>
      <w:i w:val="0"/>
      <w:iCs/>
      <w:color w:val="F7595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F75952" w:themeColor="accent1"/>
      <w:sz w:val="54"/>
    </w:rPr>
  </w:style>
  <w:style w:type="paragraph" w:styleId="ListParagraph">
    <w:name w:val="List Paragraph"/>
    <w:basedOn w:val="Normal"/>
    <w:uiPriority w:val="34"/>
    <w:unhideWhenUsed/>
    <w:qFormat/>
    <w:pPr>
      <w:contextualSpacing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8"/>
    <w:qFormat/>
    <w:pPr>
      <w:spacing w:after="1320"/>
      <w:outlineLvl w:val="9"/>
    </w:p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FooterChar">
    <w:name w:val="Footer Char"/>
    <w:basedOn w:val="DefaultParagraphFont"/>
    <w:link w:val="Footer"/>
    <w:uiPriority w:val="99"/>
    <w:rPr>
      <w:b/>
      <w:color w:val="F75952" w:themeColor="accent1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Strong">
    <w:name w:val="Strong"/>
    <w:basedOn w:val="DefaultParagraphFont"/>
    <w:uiPriority w:val="8"/>
    <w:semiHidden/>
    <w:unhideWhenUsed/>
    <w:qFormat/>
    <w:rPr>
      <w:b/>
      <w:bCs/>
      <w:color w:val="3E3E3E" w:themeColor="text2" w:themeTint="E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F5F5F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itle">
    <w:name w:val="Subtitle"/>
    <w:basedOn w:val="Normal"/>
    <w:next w:val="Author"/>
    <w:link w:val="SubtitleCh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hor">
    <w:name w:val="Author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3"/>
    <w:qFormat/>
    <w:pPr>
      <w:numPr>
        <w:numId w:val="16"/>
      </w:numPr>
    </w:pPr>
    <w:rPr>
      <w:i/>
    </w:rPr>
  </w:style>
  <w:style w:type="paragraph" w:styleId="NormalWeb">
    <w:name w:val="Normal (Web)"/>
    <w:basedOn w:val="Normal"/>
    <w:uiPriority w:val="99"/>
    <w:semiHidden/>
    <w:unhideWhenUsed/>
    <w:rsid w:val="005544F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en-US"/>
    </w:rPr>
  </w:style>
  <w:style w:type="character" w:styleId="Hyperlink">
    <w:name w:val="Hyperlink"/>
    <w:uiPriority w:val="99"/>
    <w:rsid w:val="00EE0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de.ca.gov/standard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wlambert/Library/Containers/com.microsoft.Word/Data/Library/Caches/TM10002071/Paper%20with%20Cover%20and%20TOC.dotx" TargetMode="Externa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3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DC4ED26-9DC5-644E-B45D-2D633865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with Cover and TOC.dotx</Template>
  <TotalTime>1</TotalTime>
  <Pages>6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Wolfberg</dc:creator>
  <cp:keywords/>
  <dc:description/>
  <cp:lastModifiedBy>Pamela Wolfberg</cp:lastModifiedBy>
  <cp:revision>3</cp:revision>
  <cp:lastPrinted>2018-03-15T18:18:00Z</cp:lastPrinted>
  <dcterms:created xsi:type="dcterms:W3CDTF">2018-03-15T18:18:00Z</dcterms:created>
  <dcterms:modified xsi:type="dcterms:W3CDTF">2018-03-15T18:18:00Z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40c25c02-a5e0-48a4-913c-93e0d5121f72</vt:lpwstr>
  </property>
  <property fmtid="{D5CDD505-2E9C-101B-9397-08002B2CF9AE}" pid="3" name="ContentTypeId">
    <vt:lpwstr>0x010100012E2E405031D74DB051ADDB3D34E572</vt:lpwstr>
  </property>
  <property fmtid="{D5CDD505-2E9C-101B-9397-08002B2CF9AE}" pid="4" name="AssetID">
    <vt:lpwstr>TF10002005</vt:lpwstr>
  </property>
</Properties>
</file>